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04BF0619" w:rsidR="0063043B" w:rsidRPr="00132423" w:rsidRDefault="00FA27CD">
      <w:pPr>
        <w:rPr>
          <w:rFonts w:ascii="Segoe UI" w:eastAsia="Segoe UI" w:hAnsi="Segoe UI" w:cs="Segoe UI"/>
        </w:rPr>
      </w:pPr>
      <w:r w:rsidRPr="00132423">
        <w:rPr>
          <w:rFonts w:ascii="Segoe UI" w:eastAsia="Segoe UI" w:hAnsi="Segoe UI" w:cs="Segoe UI"/>
        </w:rPr>
        <w:t>PRANEŠIMAS ŽINIASKLAIDAI</w:t>
      </w:r>
      <w:r w:rsidRPr="00132423">
        <w:rPr>
          <w:rFonts w:ascii="Segoe UI" w:eastAsia="Segoe UI" w:hAnsi="Segoe UI" w:cs="Segoe UI"/>
        </w:rPr>
        <w:br/>
        <w:t xml:space="preserve">2025 m. </w:t>
      </w:r>
      <w:r w:rsidR="001A63B5">
        <w:rPr>
          <w:rFonts w:ascii="Segoe UI" w:eastAsia="Segoe UI" w:hAnsi="Segoe UI" w:cs="Segoe UI"/>
        </w:rPr>
        <w:t xml:space="preserve">birželio </w:t>
      </w:r>
      <w:r w:rsidR="001A63B5">
        <w:rPr>
          <w:rFonts w:ascii="Segoe UI" w:eastAsia="Segoe UI" w:hAnsi="Segoe UI" w:cs="Segoe UI"/>
          <w:lang w:val="en-US"/>
        </w:rPr>
        <w:t xml:space="preserve">2 </w:t>
      </w:r>
      <w:r w:rsidRPr="00132423">
        <w:rPr>
          <w:rFonts w:ascii="Segoe UI" w:eastAsia="Segoe UI" w:hAnsi="Segoe UI" w:cs="Segoe UI"/>
          <w:color w:val="auto"/>
        </w:rPr>
        <w:t>d</w:t>
      </w:r>
      <w:r w:rsidRPr="00132423">
        <w:rPr>
          <w:rFonts w:ascii="Segoe UI" w:eastAsia="Segoe UI" w:hAnsi="Segoe UI" w:cs="Segoe UI"/>
        </w:rPr>
        <w:t>.</w:t>
      </w:r>
    </w:p>
    <w:p w14:paraId="2649CBAE" w14:textId="229BCADD" w:rsidR="00C74673" w:rsidRPr="00132423" w:rsidRDefault="00C74673" w:rsidP="00830830">
      <w:pPr>
        <w:spacing w:line="256" w:lineRule="auto"/>
        <w:jc w:val="both"/>
        <w:rPr>
          <w:rFonts w:ascii="Segoe UI" w:eastAsia="Segoe UI" w:hAnsi="Segoe UI" w:cs="Segoe UI"/>
          <w:b/>
          <w:bCs/>
          <w:sz w:val="28"/>
          <w:szCs w:val="28"/>
        </w:rPr>
      </w:pPr>
      <w:r w:rsidRPr="00132423">
        <w:rPr>
          <w:rFonts w:ascii="Segoe UI" w:eastAsia="Segoe UI" w:hAnsi="Segoe UI" w:cs="Segoe UI"/>
          <w:b/>
          <w:bCs/>
          <w:sz w:val="28"/>
          <w:szCs w:val="28"/>
        </w:rPr>
        <w:t>Praėjus mėnesiui po pokyčių: fiksuotų palūkanų pasiūlymas tapo privalomas, bet retai pasirenkamas</w:t>
      </w:r>
    </w:p>
    <w:p w14:paraId="3ED52BBA" w14:textId="5E257C4A" w:rsidR="00C74673" w:rsidRPr="00132423" w:rsidRDefault="00C74673" w:rsidP="00C74673">
      <w:pPr>
        <w:spacing w:line="256" w:lineRule="auto"/>
        <w:jc w:val="both"/>
        <w:rPr>
          <w:rFonts w:ascii="Segoe UI" w:eastAsia="Segoe UI" w:hAnsi="Segoe UI" w:cs="Segoe UI"/>
          <w:b/>
          <w:bCs/>
        </w:rPr>
      </w:pPr>
      <w:r w:rsidRPr="00132423">
        <w:rPr>
          <w:rFonts w:ascii="Segoe UI" w:eastAsia="Segoe UI" w:hAnsi="Segoe UI" w:cs="Segoe UI"/>
          <w:b/>
          <w:bCs/>
        </w:rPr>
        <w:t>Gegužės pradžioje įsigaliojo naujas reikalavimas bankams – nuo šiol visiems būsto paskolos prašantiems klientams privaloma pateikti pasiūlymus tiek su kintamomis, tiek su fiksuotomis palūkanomis. Nors sprendimas fiksuoti palūkanas vis dar priklauso nuo paties kliento, tikimasi, kad ši priemonė paskatins žmones sąmoningiau įvertinti finansinę riziką ir pasirinkti jiems tinkamiausią modelį. Apie tai, kaip pokyčiai veikia rinką ir ar jau matyti pirmieji rezultatai, pasakoja „</w:t>
      </w:r>
      <w:proofErr w:type="spellStart"/>
      <w:r w:rsidRPr="00132423">
        <w:rPr>
          <w:rFonts w:ascii="Segoe UI" w:eastAsia="Segoe UI" w:hAnsi="Segoe UI" w:cs="Segoe UI"/>
          <w:b/>
          <w:bCs/>
        </w:rPr>
        <w:t>Luminor</w:t>
      </w:r>
      <w:proofErr w:type="spellEnd"/>
      <w:r w:rsidRPr="00132423">
        <w:rPr>
          <w:rFonts w:ascii="Segoe UI" w:eastAsia="Segoe UI" w:hAnsi="Segoe UI" w:cs="Segoe UI"/>
          <w:b/>
          <w:bCs/>
        </w:rPr>
        <w:t xml:space="preserve">“ banko finansavimo srities vadovė Laura </w:t>
      </w:r>
      <w:proofErr w:type="spellStart"/>
      <w:r w:rsidRPr="00132423">
        <w:rPr>
          <w:rFonts w:ascii="Segoe UI" w:eastAsia="Segoe UI" w:hAnsi="Segoe UI" w:cs="Segoe UI"/>
          <w:b/>
          <w:bCs/>
        </w:rPr>
        <w:t>Žukovė</w:t>
      </w:r>
      <w:proofErr w:type="spellEnd"/>
      <w:r w:rsidRPr="00132423">
        <w:rPr>
          <w:rFonts w:ascii="Segoe UI" w:eastAsia="Segoe UI" w:hAnsi="Segoe UI" w:cs="Segoe UI"/>
          <w:b/>
          <w:bCs/>
        </w:rPr>
        <w:t>.</w:t>
      </w:r>
    </w:p>
    <w:p w14:paraId="2721E052" w14:textId="59A78127" w:rsidR="00C74673" w:rsidRDefault="00C74673" w:rsidP="00C74673">
      <w:pPr>
        <w:spacing w:line="256" w:lineRule="auto"/>
        <w:jc w:val="both"/>
        <w:rPr>
          <w:rFonts w:ascii="Segoe UI" w:eastAsia="Segoe UI" w:hAnsi="Segoe UI" w:cs="Segoe UI"/>
        </w:rPr>
      </w:pPr>
      <w:r w:rsidRPr="00132423">
        <w:rPr>
          <w:rFonts w:ascii="Segoe UI" w:eastAsia="Segoe UI" w:hAnsi="Segoe UI" w:cs="Segoe UI"/>
        </w:rPr>
        <w:t xml:space="preserve">„Pirmasis mėnuo parodė, kad klientų elgsena iš esmės nepasikeitė – fiksuotas palūkanas ir toliau renkasi nedidelė dalis gyventojų. Šiandien, kai EURIBOR traukiasi žemyn, didžioji dalis naujai sudaromų sutarčių lieka su kintamomis palūkanomis“, – sako L. </w:t>
      </w:r>
      <w:proofErr w:type="spellStart"/>
      <w:r w:rsidRPr="00132423">
        <w:rPr>
          <w:rFonts w:ascii="Segoe UI" w:eastAsia="Segoe UI" w:hAnsi="Segoe UI" w:cs="Segoe UI"/>
        </w:rPr>
        <w:t>Žukovė</w:t>
      </w:r>
      <w:proofErr w:type="spellEnd"/>
      <w:r w:rsidRPr="00132423">
        <w:rPr>
          <w:rFonts w:ascii="Segoe UI" w:eastAsia="Segoe UI" w:hAnsi="Segoe UI" w:cs="Segoe UI"/>
        </w:rPr>
        <w:t>.</w:t>
      </w:r>
    </w:p>
    <w:p w14:paraId="287BB97B" w14:textId="3C600854" w:rsidR="00132423" w:rsidRPr="001A63B5" w:rsidRDefault="00132423" w:rsidP="00C74673">
      <w:pPr>
        <w:spacing w:line="256" w:lineRule="auto"/>
        <w:jc w:val="both"/>
        <w:rPr>
          <w:rFonts w:ascii="Segoe UI" w:eastAsia="Segoe UI" w:hAnsi="Segoe UI" w:cs="Segoe UI"/>
          <w:b/>
          <w:bCs/>
        </w:rPr>
      </w:pPr>
      <w:r w:rsidRPr="001A63B5">
        <w:rPr>
          <w:rFonts w:ascii="Segoe UI" w:eastAsia="Segoe UI" w:hAnsi="Segoe UI" w:cs="Segoe UI"/>
          <w:b/>
          <w:bCs/>
        </w:rPr>
        <w:t xml:space="preserve">Rinkosi mažiau nei </w:t>
      </w:r>
      <w:r w:rsidRPr="001A63B5">
        <w:rPr>
          <w:rFonts w:ascii="Segoe UI" w:eastAsia="Segoe UI" w:hAnsi="Segoe UI" w:cs="Segoe UI"/>
          <w:b/>
          <w:bCs/>
          <w:lang w:val="en-US"/>
        </w:rPr>
        <w:t xml:space="preserve">1 proc. </w:t>
      </w:r>
      <w:proofErr w:type="spellStart"/>
      <w:r w:rsidRPr="001A63B5">
        <w:rPr>
          <w:rFonts w:ascii="Segoe UI" w:eastAsia="Segoe UI" w:hAnsi="Segoe UI" w:cs="Segoe UI"/>
          <w:b/>
          <w:bCs/>
          <w:lang w:val="en-US"/>
        </w:rPr>
        <w:t>gyventoj</w:t>
      </w:r>
      <w:proofErr w:type="spellEnd"/>
      <w:r w:rsidRPr="001A63B5">
        <w:rPr>
          <w:rFonts w:ascii="Segoe UI" w:eastAsia="Segoe UI" w:hAnsi="Segoe UI" w:cs="Segoe UI"/>
          <w:b/>
          <w:bCs/>
        </w:rPr>
        <w:t>ų</w:t>
      </w:r>
    </w:p>
    <w:p w14:paraId="18224448" w14:textId="2E5634A1" w:rsidR="002F0039" w:rsidRPr="00132423" w:rsidRDefault="002F0039" w:rsidP="00C74673">
      <w:pPr>
        <w:spacing w:line="256" w:lineRule="auto"/>
        <w:jc w:val="both"/>
        <w:rPr>
          <w:rFonts w:ascii="Segoe UI" w:eastAsia="Segoe UI" w:hAnsi="Segoe UI" w:cs="Segoe UI"/>
        </w:rPr>
      </w:pPr>
      <w:r w:rsidRPr="001A63B5">
        <w:rPr>
          <w:rFonts w:ascii="Segoe UI" w:eastAsia="Segoe UI" w:hAnsi="Segoe UI" w:cs="Segoe UI"/>
        </w:rPr>
        <w:t xml:space="preserve">Remiantis 2025 </w:t>
      </w:r>
      <w:r w:rsidR="00132423" w:rsidRPr="001A63B5">
        <w:rPr>
          <w:rFonts w:ascii="Segoe UI" w:eastAsia="Segoe UI" w:hAnsi="Segoe UI" w:cs="Segoe UI"/>
        </w:rPr>
        <w:t>m. pirmojo ketvir</w:t>
      </w:r>
      <w:r w:rsidR="00132423" w:rsidRPr="00132423">
        <w:rPr>
          <w:rFonts w:ascii="Segoe UI" w:eastAsia="Segoe UI" w:hAnsi="Segoe UI" w:cs="Segoe UI"/>
        </w:rPr>
        <w:t>čio</w:t>
      </w:r>
      <w:r w:rsidRPr="001A63B5">
        <w:rPr>
          <w:rFonts w:ascii="Segoe UI" w:eastAsia="Segoe UI" w:hAnsi="Segoe UI" w:cs="Segoe UI"/>
        </w:rPr>
        <w:t xml:space="preserve"> </w:t>
      </w:r>
      <w:r w:rsidR="00132423">
        <w:rPr>
          <w:rFonts w:ascii="Segoe UI" w:eastAsia="Segoe UI" w:hAnsi="Segoe UI" w:cs="Segoe UI"/>
        </w:rPr>
        <w:t>„</w:t>
      </w:r>
      <w:proofErr w:type="spellStart"/>
      <w:r w:rsidRPr="001A63B5">
        <w:rPr>
          <w:rFonts w:ascii="Segoe UI" w:eastAsia="Segoe UI" w:hAnsi="Segoe UI" w:cs="Segoe UI"/>
        </w:rPr>
        <w:t>Luminor</w:t>
      </w:r>
      <w:proofErr w:type="spellEnd"/>
      <w:r w:rsidR="00132423">
        <w:rPr>
          <w:rFonts w:ascii="Segoe UI" w:eastAsia="Segoe UI" w:hAnsi="Segoe UI" w:cs="Segoe UI"/>
        </w:rPr>
        <w:t>“ banko</w:t>
      </w:r>
      <w:r w:rsidRPr="001A63B5">
        <w:rPr>
          <w:rFonts w:ascii="Segoe UI" w:eastAsia="Segoe UI" w:hAnsi="Segoe UI" w:cs="Segoe UI"/>
        </w:rPr>
        <w:t xml:space="preserve"> duomenimis, paskolų</w:t>
      </w:r>
      <w:r w:rsidR="00132423">
        <w:rPr>
          <w:rFonts w:ascii="Segoe UI" w:eastAsia="Segoe UI" w:hAnsi="Segoe UI" w:cs="Segoe UI"/>
        </w:rPr>
        <w:t>,</w:t>
      </w:r>
      <w:r w:rsidRPr="001A63B5">
        <w:rPr>
          <w:rFonts w:ascii="Segoe UI" w:eastAsia="Segoe UI" w:hAnsi="Segoe UI" w:cs="Segoe UI"/>
        </w:rPr>
        <w:t xml:space="preserve"> suteiktų su fiksuota palūkanų norma</w:t>
      </w:r>
      <w:r w:rsidR="00132423">
        <w:rPr>
          <w:rFonts w:ascii="Segoe UI" w:eastAsia="Segoe UI" w:hAnsi="Segoe UI" w:cs="Segoe UI"/>
        </w:rPr>
        <w:t>,</w:t>
      </w:r>
      <w:r w:rsidRPr="001A63B5">
        <w:rPr>
          <w:rFonts w:ascii="Segoe UI" w:eastAsia="Segoe UI" w:hAnsi="Segoe UI" w:cs="Segoe UI"/>
        </w:rPr>
        <w:t xml:space="preserve"> dalis </w:t>
      </w:r>
      <w:r w:rsidR="00132423">
        <w:rPr>
          <w:rFonts w:ascii="Segoe UI" w:eastAsia="Segoe UI" w:hAnsi="Segoe UI" w:cs="Segoe UI"/>
        </w:rPr>
        <w:t xml:space="preserve">net </w:t>
      </w:r>
      <w:r w:rsidRPr="001A63B5">
        <w:rPr>
          <w:rFonts w:ascii="Segoe UI" w:eastAsia="Segoe UI" w:hAnsi="Segoe UI" w:cs="Segoe UI"/>
        </w:rPr>
        <w:t>nesiekė 1</w:t>
      </w:r>
      <w:r w:rsidR="00132423">
        <w:rPr>
          <w:rFonts w:ascii="Segoe UI" w:eastAsia="Segoe UI" w:hAnsi="Segoe UI" w:cs="Segoe UI"/>
        </w:rPr>
        <w:t xml:space="preserve"> proc.</w:t>
      </w:r>
      <w:r w:rsidRPr="001A63B5">
        <w:rPr>
          <w:rFonts w:ascii="Segoe UI" w:eastAsia="Segoe UI" w:hAnsi="Segoe UI" w:cs="Segoe UI"/>
        </w:rPr>
        <w:t xml:space="preserve"> visų per </w:t>
      </w:r>
      <w:r w:rsidR="00132423">
        <w:rPr>
          <w:rFonts w:ascii="Segoe UI" w:eastAsia="Segoe UI" w:hAnsi="Segoe UI" w:cs="Segoe UI"/>
        </w:rPr>
        <w:t>šį laikotarpį</w:t>
      </w:r>
      <w:r w:rsidRPr="001A63B5">
        <w:rPr>
          <w:rFonts w:ascii="Segoe UI" w:eastAsia="Segoe UI" w:hAnsi="Segoe UI" w:cs="Segoe UI"/>
        </w:rPr>
        <w:t xml:space="preserve"> išduotų banko paskolų. </w:t>
      </w:r>
      <w:r w:rsidR="00132423">
        <w:rPr>
          <w:rFonts w:ascii="Segoe UI" w:eastAsia="Segoe UI" w:hAnsi="Segoe UI" w:cs="Segoe UI"/>
        </w:rPr>
        <w:t xml:space="preserve">Kaip pastebi L. </w:t>
      </w:r>
      <w:proofErr w:type="spellStart"/>
      <w:r w:rsidR="00132423">
        <w:rPr>
          <w:rFonts w:ascii="Segoe UI" w:eastAsia="Segoe UI" w:hAnsi="Segoe UI" w:cs="Segoe UI"/>
        </w:rPr>
        <w:t>Žukovė</w:t>
      </w:r>
      <w:proofErr w:type="spellEnd"/>
      <w:r w:rsidR="00132423">
        <w:rPr>
          <w:rFonts w:ascii="Segoe UI" w:eastAsia="Segoe UI" w:hAnsi="Segoe UI" w:cs="Segoe UI"/>
        </w:rPr>
        <w:t>, š</w:t>
      </w:r>
      <w:r w:rsidRPr="001A63B5">
        <w:rPr>
          <w:rFonts w:ascii="Segoe UI" w:eastAsia="Segoe UI" w:hAnsi="Segoe UI" w:cs="Segoe UI"/>
        </w:rPr>
        <w:t>i tendencija nepasikeitė ir gegužės mėnesį, įsigaliojus pakeitimams.</w:t>
      </w:r>
      <w:r w:rsidRPr="00132423">
        <w:rPr>
          <w:rFonts w:ascii="Segoe UI" w:eastAsia="Segoe UI" w:hAnsi="Segoe UI" w:cs="Segoe UI"/>
        </w:rPr>
        <w:t xml:space="preserve"> </w:t>
      </w:r>
    </w:p>
    <w:p w14:paraId="4521E9B8" w14:textId="27D021DC" w:rsidR="00C74673" w:rsidRPr="00132423" w:rsidRDefault="00C74673" w:rsidP="00C74673">
      <w:pPr>
        <w:spacing w:line="256" w:lineRule="auto"/>
        <w:jc w:val="both"/>
        <w:rPr>
          <w:rFonts w:ascii="Segoe UI" w:eastAsia="Segoe UI" w:hAnsi="Segoe UI" w:cs="Segoe UI"/>
        </w:rPr>
      </w:pPr>
      <w:r w:rsidRPr="00132423">
        <w:rPr>
          <w:rFonts w:ascii="Segoe UI" w:eastAsia="Segoe UI" w:hAnsi="Segoe UI" w:cs="Segoe UI"/>
        </w:rPr>
        <w:t xml:space="preserve">Ekspertės teigimu, toks </w:t>
      </w:r>
      <w:r w:rsidR="00132423">
        <w:rPr>
          <w:rFonts w:ascii="Segoe UI" w:eastAsia="Segoe UI" w:hAnsi="Segoe UI" w:cs="Segoe UI"/>
        </w:rPr>
        <w:t xml:space="preserve">gyventojų </w:t>
      </w:r>
      <w:r w:rsidRPr="00132423">
        <w:rPr>
          <w:rFonts w:ascii="Segoe UI" w:eastAsia="Segoe UI" w:hAnsi="Segoe UI" w:cs="Segoe UI"/>
        </w:rPr>
        <w:t>pasirinkimas yra suprantamas – kai bazinės palūkanų normos mažėja, klientai nori tai pajausti ir savo mėnesinėse įmokose. Vis dėlto, rinkos pokyčiai primena, kad fiksuotos palūkanos – tai ne tik kainos klausimas, bet ir tam tikra draudimo forma.</w:t>
      </w:r>
    </w:p>
    <w:p w14:paraId="41100C37" w14:textId="5919EDDF" w:rsidR="00C74673" w:rsidRPr="00132423" w:rsidRDefault="00C74673" w:rsidP="00C74673">
      <w:pPr>
        <w:spacing w:line="256" w:lineRule="auto"/>
        <w:jc w:val="both"/>
        <w:rPr>
          <w:rFonts w:ascii="Segoe UI" w:eastAsia="Segoe UI" w:hAnsi="Segoe UI" w:cs="Segoe UI"/>
        </w:rPr>
      </w:pPr>
      <w:r w:rsidRPr="00132423">
        <w:rPr>
          <w:rFonts w:ascii="Segoe UI" w:eastAsia="Segoe UI" w:hAnsi="Segoe UI" w:cs="Segoe UI"/>
        </w:rPr>
        <w:t xml:space="preserve">„Fiksavimas šiandien gali būti mažiau patrauklus kainos požiūriu, tačiau tiems, kam svarbus stabilumas, tai vis tiek išlieka aktualia priemone. Galimybė žinoti, kokia bus įmoka po pusmečio ar dvejų, kai aplinkybės pasikeis, daliai gyventojų suteikia ir svarbią psichologinę ramybę“, – komentuoja L. </w:t>
      </w:r>
      <w:proofErr w:type="spellStart"/>
      <w:r w:rsidRPr="00132423">
        <w:rPr>
          <w:rFonts w:ascii="Segoe UI" w:eastAsia="Segoe UI" w:hAnsi="Segoe UI" w:cs="Segoe UI"/>
        </w:rPr>
        <w:t>Žukovė</w:t>
      </w:r>
      <w:proofErr w:type="spellEnd"/>
      <w:r w:rsidRPr="00132423">
        <w:rPr>
          <w:rFonts w:ascii="Segoe UI" w:eastAsia="Segoe UI" w:hAnsi="Segoe UI" w:cs="Segoe UI"/>
        </w:rPr>
        <w:t>.</w:t>
      </w:r>
    </w:p>
    <w:p w14:paraId="1E9E0127" w14:textId="48674DE4" w:rsidR="00C74673" w:rsidRPr="00132423" w:rsidRDefault="00C74673" w:rsidP="00C74673">
      <w:pPr>
        <w:spacing w:line="256" w:lineRule="auto"/>
        <w:jc w:val="both"/>
        <w:rPr>
          <w:rFonts w:ascii="Segoe UI" w:eastAsia="Segoe UI" w:hAnsi="Segoe UI" w:cs="Segoe UI"/>
          <w:b/>
          <w:bCs/>
        </w:rPr>
      </w:pPr>
      <w:r w:rsidRPr="00132423">
        <w:rPr>
          <w:rFonts w:ascii="Segoe UI" w:eastAsia="Segoe UI" w:hAnsi="Segoe UI" w:cs="Segoe UI"/>
          <w:b/>
          <w:bCs/>
        </w:rPr>
        <w:t>Fiksuoti ar nefiksuoti?</w:t>
      </w:r>
    </w:p>
    <w:p w14:paraId="0566D69B" w14:textId="0DDFB1A0" w:rsidR="00C74673" w:rsidRPr="00132423" w:rsidRDefault="00C74673" w:rsidP="00C74673">
      <w:pPr>
        <w:spacing w:line="256" w:lineRule="auto"/>
        <w:jc w:val="both"/>
        <w:rPr>
          <w:rFonts w:ascii="Segoe UI" w:eastAsia="Segoe UI" w:hAnsi="Segoe UI" w:cs="Segoe UI"/>
        </w:rPr>
      </w:pPr>
      <w:r w:rsidRPr="00132423">
        <w:rPr>
          <w:rFonts w:ascii="Segoe UI" w:eastAsia="Segoe UI" w:hAnsi="Segoe UI" w:cs="Segoe UI"/>
        </w:rPr>
        <w:t>Pasak ekspertės, renkantis tarp kintamų ir fiksuotų palūkanų svarbiausia įsivertinti savo finansinę situaciją ir atsparumą netikėtumams.</w:t>
      </w:r>
    </w:p>
    <w:p w14:paraId="1FB161B0" w14:textId="2AFDEDD5" w:rsidR="00C74673" w:rsidRPr="00132423" w:rsidRDefault="00C74673" w:rsidP="00C74673">
      <w:pPr>
        <w:spacing w:line="256" w:lineRule="auto"/>
        <w:jc w:val="both"/>
        <w:rPr>
          <w:rFonts w:ascii="Segoe UI" w:eastAsia="Segoe UI" w:hAnsi="Segoe UI" w:cs="Segoe UI"/>
        </w:rPr>
      </w:pPr>
      <w:r w:rsidRPr="00132423">
        <w:rPr>
          <w:rFonts w:ascii="Segoe UI" w:eastAsia="Segoe UI" w:hAnsi="Segoe UI" w:cs="Segoe UI"/>
        </w:rPr>
        <w:t xml:space="preserve">„Fiksuoti ar nefiksuoti – nėra teisingo ar neteisingo atsakymo. Klausimas – kaip elgsimės, jei situacija pasikeis? Ar būsime pasiruošę netikėtai augančioms išlaidoms?“ – pastebi L. </w:t>
      </w:r>
      <w:proofErr w:type="spellStart"/>
      <w:r w:rsidRPr="00132423">
        <w:rPr>
          <w:rFonts w:ascii="Segoe UI" w:eastAsia="Segoe UI" w:hAnsi="Segoe UI" w:cs="Segoe UI"/>
        </w:rPr>
        <w:t>Žukovė</w:t>
      </w:r>
      <w:proofErr w:type="spellEnd"/>
      <w:r w:rsidRPr="00132423">
        <w:rPr>
          <w:rFonts w:ascii="Segoe UI" w:eastAsia="Segoe UI" w:hAnsi="Segoe UI" w:cs="Segoe UI"/>
        </w:rPr>
        <w:t>.</w:t>
      </w:r>
    </w:p>
    <w:p w14:paraId="72FD7041" w14:textId="0DF0BADA" w:rsidR="00C74673" w:rsidRPr="00132423" w:rsidRDefault="00C74673" w:rsidP="00C74673">
      <w:pPr>
        <w:spacing w:line="256" w:lineRule="auto"/>
        <w:jc w:val="both"/>
        <w:rPr>
          <w:rFonts w:ascii="Segoe UI" w:eastAsia="Segoe UI" w:hAnsi="Segoe UI" w:cs="Segoe UI"/>
        </w:rPr>
      </w:pPr>
      <w:r w:rsidRPr="00132423">
        <w:rPr>
          <w:rFonts w:ascii="Segoe UI" w:eastAsia="Segoe UI" w:hAnsi="Segoe UI" w:cs="Segoe UI"/>
        </w:rPr>
        <w:t>Ji taip pat pažymi, kad „</w:t>
      </w:r>
      <w:proofErr w:type="spellStart"/>
      <w:r w:rsidRPr="00132423">
        <w:rPr>
          <w:rFonts w:ascii="Segoe UI" w:eastAsia="Segoe UI" w:hAnsi="Segoe UI" w:cs="Segoe UI"/>
        </w:rPr>
        <w:t>Luminor</w:t>
      </w:r>
      <w:proofErr w:type="spellEnd"/>
      <w:r w:rsidRPr="00132423">
        <w:rPr>
          <w:rFonts w:ascii="Segoe UI" w:eastAsia="Segoe UI" w:hAnsi="Segoe UI" w:cs="Segoe UI"/>
        </w:rPr>
        <w:t>“ klientams šis pokytis – daugiau formalumas nei naujiena. Fiksuotos palūkanos banko siūlomos jau ilgą laiką, tačiau pasirinkimas paliekamas kliento sprendimui.</w:t>
      </w:r>
    </w:p>
    <w:p w14:paraId="63CDBD93" w14:textId="638201D6" w:rsidR="00C74673" w:rsidRDefault="00C74673" w:rsidP="00830830">
      <w:pPr>
        <w:spacing w:line="256" w:lineRule="auto"/>
        <w:jc w:val="both"/>
        <w:rPr>
          <w:rFonts w:ascii="Segoe UI" w:eastAsia="Segoe UI" w:hAnsi="Segoe UI" w:cs="Segoe UI"/>
        </w:rPr>
      </w:pPr>
      <w:r w:rsidRPr="00132423">
        <w:rPr>
          <w:rFonts w:ascii="Segoe UI" w:eastAsia="Segoe UI" w:hAnsi="Segoe UI" w:cs="Segoe UI"/>
        </w:rPr>
        <w:t xml:space="preserve">„Esminių elgsenos lūžių kol kas nematome, tačiau pokytis svarbus tuo, kad kiekvienas klientas dabar neišvengiamai gauna abi alternatyvas. Tai leidžia sąmoningai pagalvoti, kuris kelias labiau atitinka jo poreikius“, – apibendrina L. </w:t>
      </w:r>
      <w:proofErr w:type="spellStart"/>
      <w:r w:rsidRPr="00132423">
        <w:rPr>
          <w:rFonts w:ascii="Segoe UI" w:eastAsia="Segoe UI" w:hAnsi="Segoe UI" w:cs="Segoe UI"/>
        </w:rPr>
        <w:t>Žukovė</w:t>
      </w:r>
      <w:proofErr w:type="spellEnd"/>
      <w:r w:rsidRPr="00132423">
        <w:rPr>
          <w:rFonts w:ascii="Segoe UI" w:eastAsia="Segoe UI" w:hAnsi="Segoe UI" w:cs="Segoe UI"/>
        </w:rPr>
        <w:t>.</w:t>
      </w:r>
    </w:p>
    <w:p w14:paraId="04ACB9B0" w14:textId="77777777" w:rsidR="001A63B5" w:rsidRDefault="001A63B5" w:rsidP="00830830">
      <w:pPr>
        <w:spacing w:line="256" w:lineRule="auto"/>
        <w:jc w:val="both"/>
        <w:rPr>
          <w:rFonts w:ascii="Segoe UI" w:eastAsia="Segoe UI" w:hAnsi="Segoe UI" w:cs="Segoe UI"/>
        </w:rPr>
      </w:pPr>
    </w:p>
    <w:p w14:paraId="7A955039" w14:textId="77777777" w:rsidR="001A63B5" w:rsidRPr="001A63B5" w:rsidRDefault="001A63B5" w:rsidP="00830830">
      <w:pPr>
        <w:spacing w:line="256" w:lineRule="auto"/>
        <w:jc w:val="both"/>
        <w:rPr>
          <w:rFonts w:ascii="Segoe UI" w:eastAsia="Segoe UI" w:hAnsi="Segoe UI" w:cs="Segoe UI"/>
        </w:rPr>
      </w:pPr>
    </w:p>
    <w:p w14:paraId="19E84526" w14:textId="2F0F38AD" w:rsidR="002E333B" w:rsidRPr="00132423" w:rsidRDefault="002E333B" w:rsidP="00830830">
      <w:pPr>
        <w:spacing w:line="256" w:lineRule="auto"/>
        <w:jc w:val="both"/>
        <w:rPr>
          <w:rFonts w:ascii="Segoe UI" w:eastAsia="Segoe UI" w:hAnsi="Segoe UI" w:cs="Segoe UI"/>
          <w:sz w:val="20"/>
          <w:szCs w:val="20"/>
        </w:rPr>
      </w:pPr>
      <w:r w:rsidRPr="00132423">
        <w:rPr>
          <w:rFonts w:ascii="Segoe UI" w:eastAsia="Segoe UI" w:hAnsi="Segoe UI" w:cs="Segoe UI"/>
          <w:b/>
          <w:bCs/>
          <w:sz w:val="20"/>
          <w:szCs w:val="20"/>
        </w:rPr>
        <w:lastRenderedPageBreak/>
        <w:t>Apie „</w:t>
      </w:r>
      <w:proofErr w:type="spellStart"/>
      <w:r w:rsidRPr="00132423">
        <w:rPr>
          <w:rFonts w:ascii="Segoe UI" w:eastAsia="Segoe UI" w:hAnsi="Segoe UI" w:cs="Segoe UI"/>
          <w:b/>
          <w:bCs/>
          <w:sz w:val="20"/>
          <w:szCs w:val="20"/>
        </w:rPr>
        <w:t>Luminor</w:t>
      </w:r>
      <w:proofErr w:type="spellEnd"/>
      <w:r w:rsidRPr="00132423">
        <w:rPr>
          <w:rFonts w:ascii="Segoe UI" w:eastAsia="Segoe UI" w:hAnsi="Segoe UI" w:cs="Segoe UI"/>
          <w:b/>
          <w:bCs/>
          <w:sz w:val="20"/>
          <w:szCs w:val="20"/>
          <w:rtl/>
        </w:rPr>
        <w:t>“</w:t>
      </w:r>
      <w:r w:rsidRPr="00132423">
        <w:rPr>
          <w:rFonts w:ascii="Segoe UI" w:eastAsia="Segoe UI" w:hAnsi="Segoe UI" w:cs="Segoe UI"/>
          <w:b/>
          <w:bCs/>
          <w:sz w:val="20"/>
          <w:szCs w:val="20"/>
        </w:rPr>
        <w:t>:</w:t>
      </w:r>
    </w:p>
    <w:p w14:paraId="7095CACF" w14:textId="01012D65" w:rsidR="005E396E" w:rsidRPr="00132423" w:rsidRDefault="005E396E" w:rsidP="002E333B">
      <w:pPr>
        <w:spacing w:after="0" w:line="240" w:lineRule="auto"/>
        <w:rPr>
          <w:rFonts w:ascii="Segoe UI" w:eastAsia="Segoe UI" w:hAnsi="Segoe UI" w:cs="Segoe UI"/>
          <w:sz w:val="20"/>
          <w:szCs w:val="20"/>
        </w:rPr>
      </w:pPr>
      <w:r w:rsidRPr="00132423">
        <w:rPr>
          <w:rFonts w:ascii="Segoe UI" w:eastAsia="Segoe UI" w:hAnsi="Segoe UI" w:cs="Segoe UI"/>
          <w:sz w:val="20"/>
          <w:szCs w:val="20"/>
        </w:rPr>
        <w:t>„</w:t>
      </w:r>
      <w:proofErr w:type="spellStart"/>
      <w:r w:rsidRPr="00132423">
        <w:rPr>
          <w:rFonts w:ascii="Segoe UI" w:eastAsia="Segoe UI" w:hAnsi="Segoe UI" w:cs="Segoe UI"/>
          <w:sz w:val="20"/>
          <w:szCs w:val="20"/>
        </w:rPr>
        <w:t>Luminor</w:t>
      </w:r>
      <w:proofErr w:type="spellEnd"/>
      <w:r w:rsidRPr="00132423">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132423">
        <w:rPr>
          <w:rFonts w:ascii="Segoe UI" w:eastAsia="Segoe UI" w:hAnsi="Segoe UI" w:cs="Segoe UI"/>
          <w:sz w:val="20"/>
          <w:szCs w:val="20"/>
        </w:rPr>
        <w:t>Luminor</w:t>
      </w:r>
      <w:proofErr w:type="spellEnd"/>
      <w:r w:rsidRPr="00132423">
        <w:rPr>
          <w:rFonts w:ascii="Segoe UI" w:eastAsia="Segoe UI" w:hAnsi="Segoe UI" w:cs="Segoe UI"/>
          <w:sz w:val="20"/>
          <w:szCs w:val="20"/>
        </w:rPr>
        <w:t xml:space="preserve">“ siekia gerinti savo klientų ir namų rinkų finansinę sveikatą bei skatinti jų augimą. Daugiau informacijos rasite </w:t>
      </w:r>
      <w:hyperlink r:id="rId8" w:anchor="financial-calendar" w:history="1">
        <w:r w:rsidRPr="00132423">
          <w:rPr>
            <w:rStyle w:val="Hipersaitas"/>
            <w:rFonts w:ascii="Segoe UI" w:eastAsia="Segoe UI" w:hAnsi="Segoe UI" w:cs="Segoe UI"/>
            <w:sz w:val="20"/>
            <w:szCs w:val="20"/>
          </w:rPr>
          <w:t>čia</w:t>
        </w:r>
      </w:hyperlink>
      <w:r w:rsidRPr="00132423">
        <w:rPr>
          <w:rFonts w:ascii="Segoe UI" w:eastAsia="Segoe UI" w:hAnsi="Segoe UI" w:cs="Segoe UI"/>
          <w:sz w:val="20"/>
          <w:szCs w:val="20"/>
        </w:rPr>
        <w:t xml:space="preserve">. </w:t>
      </w:r>
    </w:p>
    <w:p w14:paraId="318AAF23" w14:textId="77777777" w:rsidR="005E396E" w:rsidRPr="00132423" w:rsidRDefault="005E396E" w:rsidP="002E333B">
      <w:pPr>
        <w:spacing w:after="0" w:line="240" w:lineRule="auto"/>
        <w:rPr>
          <w:rFonts w:ascii="Segoe UI" w:eastAsia="Segoe UI" w:hAnsi="Segoe UI" w:cs="Segoe UI"/>
          <w:sz w:val="20"/>
          <w:szCs w:val="20"/>
        </w:rPr>
      </w:pPr>
    </w:p>
    <w:p w14:paraId="4627EE2F" w14:textId="306DAF60" w:rsidR="002E333B" w:rsidRPr="00132423" w:rsidRDefault="002E333B" w:rsidP="002E333B">
      <w:pPr>
        <w:spacing w:after="0" w:line="240" w:lineRule="auto"/>
        <w:rPr>
          <w:rFonts w:ascii="Segoe UI" w:eastAsia="Segoe UI" w:hAnsi="Segoe UI" w:cs="Segoe UI"/>
          <w:b/>
          <w:bCs/>
          <w:sz w:val="20"/>
          <w:szCs w:val="20"/>
        </w:rPr>
      </w:pPr>
      <w:r w:rsidRPr="00132423">
        <w:rPr>
          <w:rFonts w:ascii="Segoe UI" w:eastAsia="Segoe UI" w:hAnsi="Segoe UI" w:cs="Segoe UI"/>
          <w:b/>
          <w:bCs/>
          <w:sz w:val="20"/>
          <w:szCs w:val="20"/>
        </w:rPr>
        <w:t>Daugiau informacijos:</w:t>
      </w:r>
    </w:p>
    <w:p w14:paraId="7A5E45F8" w14:textId="366CFDD3" w:rsidR="0063043B" w:rsidRPr="003F6AE9" w:rsidRDefault="00BE6D15" w:rsidP="00BE6D15">
      <w:pPr>
        <w:spacing w:after="0" w:line="240" w:lineRule="auto"/>
        <w:rPr>
          <w:rFonts w:ascii="Segoe UI" w:hAnsi="Segoe UI" w:cs="Segoe UI"/>
          <w:sz w:val="20"/>
          <w:szCs w:val="20"/>
        </w:rPr>
      </w:pPr>
      <w:r w:rsidRPr="00132423">
        <w:rPr>
          <w:rFonts w:ascii="Segoe UI" w:eastAsia="Segoe UI" w:hAnsi="Segoe UI" w:cs="Segoe UI"/>
          <w:sz w:val="20"/>
          <w:szCs w:val="20"/>
        </w:rPr>
        <w:t>Šarūnas Kubilius</w:t>
      </w:r>
      <w:r w:rsidRPr="00132423">
        <w:rPr>
          <w:rFonts w:ascii="Segoe UI" w:eastAsia="Segoe UI" w:hAnsi="Segoe UI" w:cs="Segoe UI"/>
          <w:sz w:val="20"/>
          <w:szCs w:val="20"/>
        </w:rPr>
        <w:br/>
        <w:t>„</w:t>
      </w:r>
      <w:proofErr w:type="spellStart"/>
      <w:r w:rsidRPr="00132423">
        <w:rPr>
          <w:rFonts w:ascii="Segoe UI" w:eastAsia="Segoe UI" w:hAnsi="Segoe UI" w:cs="Segoe UI"/>
          <w:sz w:val="20"/>
          <w:szCs w:val="20"/>
        </w:rPr>
        <w:t>Luminor</w:t>
      </w:r>
      <w:proofErr w:type="spellEnd"/>
      <w:r w:rsidRPr="00132423">
        <w:rPr>
          <w:rFonts w:ascii="Segoe UI" w:eastAsia="Segoe UI" w:hAnsi="Segoe UI" w:cs="Segoe UI"/>
          <w:sz w:val="20"/>
          <w:szCs w:val="20"/>
        </w:rPr>
        <w:t>“ komunikacijos projektų vadovas</w:t>
      </w:r>
      <w:r w:rsidRPr="00132423">
        <w:rPr>
          <w:rFonts w:ascii="Segoe UI" w:eastAsia="Segoe UI" w:hAnsi="Segoe UI" w:cs="Segoe UI"/>
          <w:sz w:val="20"/>
          <w:szCs w:val="20"/>
        </w:rPr>
        <w:br/>
        <w:t>Tel.: +370 623 48086</w:t>
      </w:r>
      <w:r w:rsidRPr="00132423">
        <w:rPr>
          <w:rFonts w:ascii="Segoe UI" w:eastAsia="Segoe UI" w:hAnsi="Segoe UI" w:cs="Segoe UI"/>
          <w:sz w:val="20"/>
          <w:szCs w:val="20"/>
        </w:rPr>
        <w:br/>
        <w:t>El. p.: </w:t>
      </w:r>
      <w:hyperlink r:id="rId9" w:history="1">
        <w:r w:rsidRPr="00132423">
          <w:rPr>
            <w:rStyle w:val="Hipersaitas"/>
            <w:rFonts w:ascii="Segoe UI" w:eastAsia="Segoe UI" w:hAnsi="Segoe UI" w:cs="Segoe UI"/>
            <w:sz w:val="20"/>
            <w:szCs w:val="20"/>
          </w:rPr>
          <w:t>sarunas.kubilius@luminorgroup.com</w:t>
        </w:r>
      </w:hyperlink>
      <w:r w:rsidRPr="00132423">
        <w:rPr>
          <w:rFonts w:ascii="Segoe UI" w:eastAsia="Segoe UI" w:hAnsi="Segoe UI" w:cs="Segoe UI"/>
          <w:sz w:val="20"/>
          <w:szCs w:val="20"/>
        </w:rPr>
        <w:t xml:space="preserve"> </w:t>
      </w:r>
    </w:p>
    <w:sectPr w:rsidR="0063043B" w:rsidRPr="003F6AE9"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89D35" w14:textId="77777777" w:rsidR="001C1631" w:rsidRPr="00132423" w:rsidRDefault="001C1631">
      <w:pPr>
        <w:spacing w:after="0" w:line="240" w:lineRule="auto"/>
      </w:pPr>
      <w:r w:rsidRPr="00132423">
        <w:separator/>
      </w:r>
    </w:p>
  </w:endnote>
  <w:endnote w:type="continuationSeparator" w:id="0">
    <w:p w14:paraId="7583EFE2" w14:textId="77777777" w:rsidR="001C1631" w:rsidRPr="00132423" w:rsidRDefault="001C1631">
      <w:pPr>
        <w:spacing w:after="0" w:line="240" w:lineRule="auto"/>
      </w:pPr>
      <w:r w:rsidRPr="001324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Pr="00132423"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AAE27" w14:textId="77777777" w:rsidR="001C1631" w:rsidRPr="00132423" w:rsidRDefault="001C1631">
      <w:pPr>
        <w:spacing w:after="0" w:line="240" w:lineRule="auto"/>
      </w:pPr>
      <w:r w:rsidRPr="00132423">
        <w:separator/>
      </w:r>
    </w:p>
  </w:footnote>
  <w:footnote w:type="continuationSeparator" w:id="0">
    <w:p w14:paraId="3FDA9C24" w14:textId="77777777" w:rsidR="001C1631" w:rsidRPr="00132423" w:rsidRDefault="001C1631">
      <w:pPr>
        <w:spacing w:after="0" w:line="240" w:lineRule="auto"/>
      </w:pPr>
      <w:r w:rsidRPr="0013242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Pr="00132423" w:rsidRDefault="00FA27CD">
    <w:pPr>
      <w:tabs>
        <w:tab w:val="center" w:pos="4513"/>
        <w:tab w:val="right" w:pos="9026"/>
      </w:tabs>
      <w:spacing w:after="0" w:line="240" w:lineRule="auto"/>
    </w:pPr>
    <w:r w:rsidRPr="001A63B5">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28F"/>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66BB7"/>
    <w:rsid w:val="00071020"/>
    <w:rsid w:val="00071EE0"/>
    <w:rsid w:val="00074DF5"/>
    <w:rsid w:val="00075280"/>
    <w:rsid w:val="00075411"/>
    <w:rsid w:val="0007618A"/>
    <w:rsid w:val="00077726"/>
    <w:rsid w:val="00077AF7"/>
    <w:rsid w:val="00077D7A"/>
    <w:rsid w:val="000802E4"/>
    <w:rsid w:val="000811B2"/>
    <w:rsid w:val="00083BA1"/>
    <w:rsid w:val="00083CB7"/>
    <w:rsid w:val="00085173"/>
    <w:rsid w:val="00085EA9"/>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98C"/>
    <w:rsid w:val="000B6CCA"/>
    <w:rsid w:val="000C0555"/>
    <w:rsid w:val="000C1FA3"/>
    <w:rsid w:val="000C4B03"/>
    <w:rsid w:val="000C4B41"/>
    <w:rsid w:val="000C6334"/>
    <w:rsid w:val="000C70E6"/>
    <w:rsid w:val="000C73BD"/>
    <w:rsid w:val="000C7672"/>
    <w:rsid w:val="000D40C5"/>
    <w:rsid w:val="000D7067"/>
    <w:rsid w:val="000D7A3D"/>
    <w:rsid w:val="000D7EC0"/>
    <w:rsid w:val="000E1C3F"/>
    <w:rsid w:val="000E22EE"/>
    <w:rsid w:val="000E267B"/>
    <w:rsid w:val="000E2765"/>
    <w:rsid w:val="000E2F56"/>
    <w:rsid w:val="000E3DF5"/>
    <w:rsid w:val="000E3EEF"/>
    <w:rsid w:val="000E6019"/>
    <w:rsid w:val="000E6BD4"/>
    <w:rsid w:val="000E75B2"/>
    <w:rsid w:val="000E76C7"/>
    <w:rsid w:val="000F0A3C"/>
    <w:rsid w:val="000F23C2"/>
    <w:rsid w:val="000F3463"/>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2423"/>
    <w:rsid w:val="0013403F"/>
    <w:rsid w:val="00135270"/>
    <w:rsid w:val="00135820"/>
    <w:rsid w:val="00135DA3"/>
    <w:rsid w:val="00137661"/>
    <w:rsid w:val="001413F6"/>
    <w:rsid w:val="001426DC"/>
    <w:rsid w:val="00143C57"/>
    <w:rsid w:val="00144E7E"/>
    <w:rsid w:val="0014747F"/>
    <w:rsid w:val="00151AA9"/>
    <w:rsid w:val="00151F9D"/>
    <w:rsid w:val="00152D4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0A4A"/>
    <w:rsid w:val="001A1D15"/>
    <w:rsid w:val="001A206D"/>
    <w:rsid w:val="001A2161"/>
    <w:rsid w:val="001A26D3"/>
    <w:rsid w:val="001A461C"/>
    <w:rsid w:val="001A53DB"/>
    <w:rsid w:val="001A5B25"/>
    <w:rsid w:val="001A63B5"/>
    <w:rsid w:val="001A6EEC"/>
    <w:rsid w:val="001A7215"/>
    <w:rsid w:val="001A737D"/>
    <w:rsid w:val="001B047D"/>
    <w:rsid w:val="001B1D52"/>
    <w:rsid w:val="001B3287"/>
    <w:rsid w:val="001B3E23"/>
    <w:rsid w:val="001B5350"/>
    <w:rsid w:val="001B539A"/>
    <w:rsid w:val="001B72A4"/>
    <w:rsid w:val="001B7A54"/>
    <w:rsid w:val="001C1631"/>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7C06"/>
    <w:rsid w:val="001E7CAD"/>
    <w:rsid w:val="001F0161"/>
    <w:rsid w:val="001F0232"/>
    <w:rsid w:val="001F10B1"/>
    <w:rsid w:val="001F1153"/>
    <w:rsid w:val="001F16D1"/>
    <w:rsid w:val="001F1F18"/>
    <w:rsid w:val="001F2050"/>
    <w:rsid w:val="001F230C"/>
    <w:rsid w:val="001F2E67"/>
    <w:rsid w:val="001F3ACD"/>
    <w:rsid w:val="001F3F24"/>
    <w:rsid w:val="001F5B92"/>
    <w:rsid w:val="001F60F2"/>
    <w:rsid w:val="001F768A"/>
    <w:rsid w:val="002020ED"/>
    <w:rsid w:val="0020215C"/>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67FCF"/>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302"/>
    <w:rsid w:val="002C35CE"/>
    <w:rsid w:val="002C3AB7"/>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0039"/>
    <w:rsid w:val="002F1341"/>
    <w:rsid w:val="002F22B5"/>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996"/>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8C3"/>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3711"/>
    <w:rsid w:val="004143A3"/>
    <w:rsid w:val="004159B4"/>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4E5B"/>
    <w:rsid w:val="00484F22"/>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718"/>
    <w:rsid w:val="004E296D"/>
    <w:rsid w:val="004E3AA4"/>
    <w:rsid w:val="004E6362"/>
    <w:rsid w:val="004E6C05"/>
    <w:rsid w:val="004E7390"/>
    <w:rsid w:val="004E798B"/>
    <w:rsid w:val="004E7AFF"/>
    <w:rsid w:val="004E7CBA"/>
    <w:rsid w:val="004F0067"/>
    <w:rsid w:val="004F287A"/>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2724A"/>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0C4"/>
    <w:rsid w:val="0054474E"/>
    <w:rsid w:val="00546884"/>
    <w:rsid w:val="00547EFB"/>
    <w:rsid w:val="00552670"/>
    <w:rsid w:val="005540C1"/>
    <w:rsid w:val="00554901"/>
    <w:rsid w:val="00554F32"/>
    <w:rsid w:val="005562AF"/>
    <w:rsid w:val="005564D4"/>
    <w:rsid w:val="005564ED"/>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1053"/>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851"/>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02DF"/>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1E29"/>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3ABC"/>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4475"/>
    <w:rsid w:val="007A51B1"/>
    <w:rsid w:val="007A5D2D"/>
    <w:rsid w:val="007B030C"/>
    <w:rsid w:val="007B1144"/>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2CE"/>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39A"/>
    <w:rsid w:val="008617DF"/>
    <w:rsid w:val="0086226A"/>
    <w:rsid w:val="0086258D"/>
    <w:rsid w:val="00862C62"/>
    <w:rsid w:val="008649EF"/>
    <w:rsid w:val="00866FAE"/>
    <w:rsid w:val="00867518"/>
    <w:rsid w:val="0087052B"/>
    <w:rsid w:val="008706DB"/>
    <w:rsid w:val="00870818"/>
    <w:rsid w:val="00870F01"/>
    <w:rsid w:val="00870F92"/>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297"/>
    <w:rsid w:val="00891467"/>
    <w:rsid w:val="00891A2F"/>
    <w:rsid w:val="00891E2A"/>
    <w:rsid w:val="0089717A"/>
    <w:rsid w:val="008A0B0F"/>
    <w:rsid w:val="008A109D"/>
    <w:rsid w:val="008A17EA"/>
    <w:rsid w:val="008A1A98"/>
    <w:rsid w:val="008A4189"/>
    <w:rsid w:val="008A5325"/>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3EB6"/>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1DB5"/>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64"/>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2D6A"/>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257A"/>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0D72"/>
    <w:rsid w:val="00AE1294"/>
    <w:rsid w:val="00AE18D8"/>
    <w:rsid w:val="00AE2692"/>
    <w:rsid w:val="00AE3B60"/>
    <w:rsid w:val="00AE45EE"/>
    <w:rsid w:val="00AE5223"/>
    <w:rsid w:val="00AE53AC"/>
    <w:rsid w:val="00AF0146"/>
    <w:rsid w:val="00AF03CB"/>
    <w:rsid w:val="00AF0602"/>
    <w:rsid w:val="00AF43F4"/>
    <w:rsid w:val="00AF4DEB"/>
    <w:rsid w:val="00AF5137"/>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031"/>
    <w:rsid w:val="00C521DF"/>
    <w:rsid w:val="00C55133"/>
    <w:rsid w:val="00C5578A"/>
    <w:rsid w:val="00C557BD"/>
    <w:rsid w:val="00C56921"/>
    <w:rsid w:val="00C57C2E"/>
    <w:rsid w:val="00C61FB7"/>
    <w:rsid w:val="00C62DFC"/>
    <w:rsid w:val="00C6315D"/>
    <w:rsid w:val="00C637F2"/>
    <w:rsid w:val="00C65602"/>
    <w:rsid w:val="00C657AB"/>
    <w:rsid w:val="00C66CD7"/>
    <w:rsid w:val="00C67D6D"/>
    <w:rsid w:val="00C7077B"/>
    <w:rsid w:val="00C71548"/>
    <w:rsid w:val="00C71594"/>
    <w:rsid w:val="00C72D55"/>
    <w:rsid w:val="00C737E4"/>
    <w:rsid w:val="00C74673"/>
    <w:rsid w:val="00C749A7"/>
    <w:rsid w:val="00C75253"/>
    <w:rsid w:val="00C76250"/>
    <w:rsid w:val="00C76D13"/>
    <w:rsid w:val="00C819D3"/>
    <w:rsid w:val="00C82A34"/>
    <w:rsid w:val="00C834F5"/>
    <w:rsid w:val="00C839DB"/>
    <w:rsid w:val="00C8620D"/>
    <w:rsid w:val="00C90538"/>
    <w:rsid w:val="00C92A5F"/>
    <w:rsid w:val="00C947F5"/>
    <w:rsid w:val="00C95FE7"/>
    <w:rsid w:val="00C96D0B"/>
    <w:rsid w:val="00C978A6"/>
    <w:rsid w:val="00CA0376"/>
    <w:rsid w:val="00CA06C7"/>
    <w:rsid w:val="00CA10B3"/>
    <w:rsid w:val="00CA3041"/>
    <w:rsid w:val="00CA33B5"/>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D00"/>
    <w:rsid w:val="00D31DF4"/>
    <w:rsid w:val="00D31F2B"/>
    <w:rsid w:val="00D328C7"/>
    <w:rsid w:val="00D329DD"/>
    <w:rsid w:val="00D3399C"/>
    <w:rsid w:val="00D351A4"/>
    <w:rsid w:val="00D3604A"/>
    <w:rsid w:val="00D40067"/>
    <w:rsid w:val="00D404C9"/>
    <w:rsid w:val="00D40792"/>
    <w:rsid w:val="00D43AA5"/>
    <w:rsid w:val="00D44E24"/>
    <w:rsid w:val="00D45C32"/>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77F6E"/>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D79FB"/>
    <w:rsid w:val="00DE0E11"/>
    <w:rsid w:val="00DE470B"/>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52023"/>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B4EE0"/>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7CD1"/>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4A42"/>
    <w:rsid w:val="00F654D3"/>
    <w:rsid w:val="00F66275"/>
    <w:rsid w:val="00F665F7"/>
    <w:rsid w:val="00F66671"/>
    <w:rsid w:val="00F66A8D"/>
    <w:rsid w:val="00F7085F"/>
    <w:rsid w:val="00F70AA6"/>
    <w:rsid w:val="00F70D8C"/>
    <w:rsid w:val="00F716A7"/>
    <w:rsid w:val="00F718DF"/>
    <w:rsid w:val="00F727B3"/>
    <w:rsid w:val="00F73F8B"/>
    <w:rsid w:val="00F77713"/>
    <w:rsid w:val="00F77C39"/>
    <w:rsid w:val="00F80289"/>
    <w:rsid w:val="00F81338"/>
    <w:rsid w:val="00F81EF2"/>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27CD"/>
    <w:rsid w:val="00FA4185"/>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26274060">
      <w:bodyDiv w:val="1"/>
      <w:marLeft w:val="0"/>
      <w:marRight w:val="0"/>
      <w:marTop w:val="0"/>
      <w:marBottom w:val="0"/>
      <w:divBdr>
        <w:top w:val="none" w:sz="0" w:space="0" w:color="auto"/>
        <w:left w:val="none" w:sz="0" w:space="0" w:color="auto"/>
        <w:bottom w:val="none" w:sz="0" w:space="0" w:color="auto"/>
        <w:right w:val="none" w:sz="0" w:space="0" w:color="auto"/>
      </w:divBdr>
      <w:divsChild>
        <w:div w:id="1688018460">
          <w:blockQuote w:val="1"/>
          <w:marLeft w:val="720"/>
          <w:marRight w:val="720"/>
          <w:marTop w:val="100"/>
          <w:marBottom w:val="100"/>
          <w:divBdr>
            <w:top w:val="none" w:sz="0" w:space="0" w:color="auto"/>
            <w:left w:val="none" w:sz="0" w:space="0" w:color="auto"/>
            <w:bottom w:val="none" w:sz="0" w:space="0" w:color="auto"/>
            <w:right w:val="none" w:sz="0" w:space="0" w:color="auto"/>
          </w:divBdr>
        </w:div>
        <w:div w:id="960959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947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778673">
      <w:bodyDiv w:val="1"/>
      <w:marLeft w:val="0"/>
      <w:marRight w:val="0"/>
      <w:marTop w:val="0"/>
      <w:marBottom w:val="0"/>
      <w:divBdr>
        <w:top w:val="none" w:sz="0" w:space="0" w:color="auto"/>
        <w:left w:val="none" w:sz="0" w:space="0" w:color="auto"/>
        <w:bottom w:val="none" w:sz="0" w:space="0" w:color="auto"/>
        <w:right w:val="none" w:sz="0" w:space="0" w:color="auto"/>
      </w:divBdr>
      <w:divsChild>
        <w:div w:id="78336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39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65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218903">
      <w:bodyDiv w:val="1"/>
      <w:marLeft w:val="0"/>
      <w:marRight w:val="0"/>
      <w:marTop w:val="0"/>
      <w:marBottom w:val="0"/>
      <w:divBdr>
        <w:top w:val="none" w:sz="0" w:space="0" w:color="auto"/>
        <w:left w:val="none" w:sz="0" w:space="0" w:color="auto"/>
        <w:bottom w:val="none" w:sz="0" w:space="0" w:color="auto"/>
        <w:right w:val="none" w:sz="0" w:space="0" w:color="auto"/>
      </w:divBdr>
      <w:divsChild>
        <w:div w:id="329724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285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5799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6021648">
      <w:bodyDiv w:val="1"/>
      <w:marLeft w:val="0"/>
      <w:marRight w:val="0"/>
      <w:marTop w:val="0"/>
      <w:marBottom w:val="0"/>
      <w:divBdr>
        <w:top w:val="none" w:sz="0" w:space="0" w:color="auto"/>
        <w:left w:val="none" w:sz="0" w:space="0" w:color="auto"/>
        <w:bottom w:val="none" w:sz="0" w:space="0" w:color="auto"/>
        <w:right w:val="none" w:sz="0" w:space="0" w:color="auto"/>
      </w:divBdr>
      <w:divsChild>
        <w:div w:id="1976642100">
          <w:blockQuote w:val="1"/>
          <w:marLeft w:val="720"/>
          <w:marRight w:val="720"/>
          <w:marTop w:val="100"/>
          <w:marBottom w:val="100"/>
          <w:divBdr>
            <w:top w:val="none" w:sz="0" w:space="0" w:color="auto"/>
            <w:left w:val="none" w:sz="0" w:space="0" w:color="auto"/>
            <w:bottom w:val="none" w:sz="0" w:space="0" w:color="auto"/>
            <w:right w:val="none" w:sz="0" w:space="0" w:color="auto"/>
          </w:divBdr>
        </w:div>
        <w:div w:id="368796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216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EE1AA-9B44-4318-89DF-26A845C50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2823</Characters>
  <Application>Microsoft Office Word</Application>
  <DocSecurity>0</DocSecurity>
  <Lines>44</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2025-06-02T14:05:00Z</dcterms:created>
  <dcterms:modified xsi:type="dcterms:W3CDTF">2025-06-02T14:05:00Z</dcterms:modified>
</cp:coreProperties>
</file>