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870C94" w14:textId="79B90A45" w:rsidR="00A9169E" w:rsidRPr="0076656D" w:rsidRDefault="000B13E8" w:rsidP="000B13E8">
      <w:pPr>
        <w:snapToGrid w:val="0"/>
        <w:spacing w:after="0"/>
        <w:jc w:val="left"/>
        <w:rPr>
          <w:rFonts w:ascii="Verdana" w:hAnsi="Verdana"/>
          <w:b/>
          <w:sz w:val="24"/>
          <w:szCs w:val="24"/>
        </w:rPr>
      </w:pPr>
      <w:r w:rsidRPr="000B13E8">
        <w:rPr>
          <w:rFonts w:ascii="Verdana" w:hAnsi="Verdana"/>
          <w:b/>
          <w:sz w:val="24"/>
          <w:szCs w:val="24"/>
        </w:rPr>
        <w:t xml:space="preserve">„Citus“ ekspertai: </w:t>
      </w:r>
      <w:r w:rsidR="00611DCA">
        <w:rPr>
          <w:rFonts w:ascii="Verdana" w:hAnsi="Verdana"/>
          <w:b/>
          <w:sz w:val="24"/>
          <w:szCs w:val="24"/>
        </w:rPr>
        <w:t>b</w:t>
      </w:r>
      <w:r w:rsidR="00611DCA" w:rsidRPr="00611DCA">
        <w:rPr>
          <w:rFonts w:ascii="Verdana" w:hAnsi="Verdana"/>
          <w:b/>
          <w:sz w:val="24"/>
          <w:szCs w:val="24"/>
        </w:rPr>
        <w:t>ūstas, kaip investicija</w:t>
      </w:r>
      <w:r w:rsidR="00611DCA">
        <w:rPr>
          <w:rFonts w:ascii="Verdana" w:hAnsi="Verdana"/>
          <w:b/>
          <w:sz w:val="24"/>
          <w:szCs w:val="24"/>
        </w:rPr>
        <w:t xml:space="preserve"> –</w:t>
      </w:r>
      <w:r w:rsidR="00611DCA" w:rsidRPr="00611DCA">
        <w:rPr>
          <w:rFonts w:ascii="Verdana" w:hAnsi="Verdana"/>
          <w:b/>
          <w:sz w:val="24"/>
          <w:szCs w:val="24"/>
        </w:rPr>
        <w:t xml:space="preserve"> kaip atpažinti vietas, kur vertė augs greičiausiai</w:t>
      </w:r>
    </w:p>
    <w:p w14:paraId="46D0FC66" w14:textId="2BF28F9A" w:rsidR="00C35436" w:rsidRPr="0076656D" w:rsidRDefault="00B41BA4" w:rsidP="000B13E8">
      <w:pPr>
        <w:snapToGrid w:val="0"/>
        <w:spacing w:after="0"/>
        <w:jc w:val="left"/>
        <w:rPr>
          <w:rFonts w:ascii="Verdana" w:hAnsi="Verdana" w:cs="Open Sans Light"/>
          <w:i/>
          <w:color w:val="000000" w:themeColor="text1"/>
          <w:sz w:val="16"/>
          <w:szCs w:val="16"/>
        </w:rPr>
      </w:pPr>
      <w:r w:rsidRPr="0076656D">
        <w:rPr>
          <w:rFonts w:ascii="Verdana" w:hAnsi="Verdana" w:cs="Open Sans Light"/>
          <w:i/>
          <w:color w:val="000000" w:themeColor="text1"/>
          <w:sz w:val="16"/>
          <w:szCs w:val="16"/>
        </w:rPr>
        <w:t>202</w:t>
      </w:r>
      <w:r w:rsidR="00E974DE" w:rsidRPr="0076656D">
        <w:rPr>
          <w:rFonts w:ascii="Verdana" w:hAnsi="Verdana" w:cs="Open Sans Light"/>
          <w:i/>
          <w:color w:val="000000" w:themeColor="text1"/>
          <w:sz w:val="16"/>
          <w:szCs w:val="16"/>
        </w:rPr>
        <w:t>5</w:t>
      </w:r>
      <w:r w:rsidRPr="0076656D">
        <w:rPr>
          <w:rFonts w:ascii="Verdana" w:hAnsi="Verdana" w:cs="Open Sans Light"/>
          <w:i/>
          <w:color w:val="000000" w:themeColor="text1"/>
          <w:sz w:val="16"/>
          <w:szCs w:val="16"/>
        </w:rPr>
        <w:t xml:space="preserve"> m. </w:t>
      </w:r>
      <w:r w:rsidR="004303ED">
        <w:rPr>
          <w:rFonts w:ascii="Verdana" w:hAnsi="Verdana" w:cs="Open Sans Light"/>
          <w:i/>
          <w:color w:val="000000" w:themeColor="text1"/>
          <w:sz w:val="16"/>
          <w:szCs w:val="16"/>
        </w:rPr>
        <w:t>birželio</w:t>
      </w:r>
      <w:r w:rsidRPr="0076656D">
        <w:rPr>
          <w:rFonts w:ascii="Verdana" w:hAnsi="Verdana" w:cs="Open Sans Light"/>
          <w:i/>
          <w:color w:val="000000" w:themeColor="text1"/>
          <w:sz w:val="16"/>
          <w:szCs w:val="16"/>
        </w:rPr>
        <w:t xml:space="preserve"> </w:t>
      </w:r>
      <w:r w:rsidR="004303ED">
        <w:rPr>
          <w:rFonts w:ascii="Verdana" w:hAnsi="Verdana" w:cs="Open Sans Light"/>
          <w:i/>
          <w:color w:val="000000" w:themeColor="text1"/>
          <w:sz w:val="16"/>
          <w:szCs w:val="16"/>
        </w:rPr>
        <w:t>6</w:t>
      </w:r>
      <w:r w:rsidRPr="0076656D">
        <w:rPr>
          <w:rFonts w:ascii="Verdana" w:hAnsi="Verdana" w:cs="Open Sans Light"/>
          <w:i/>
          <w:color w:val="000000" w:themeColor="text1"/>
          <w:sz w:val="16"/>
          <w:szCs w:val="16"/>
        </w:rPr>
        <w:t xml:space="preserve"> d.</w:t>
      </w:r>
    </w:p>
    <w:p w14:paraId="5AB90836" w14:textId="77777777" w:rsidR="0012235E" w:rsidRPr="0076656D" w:rsidRDefault="0012235E" w:rsidP="000B13E8">
      <w:pPr>
        <w:snapToGrid w:val="0"/>
        <w:spacing w:after="0"/>
        <w:jc w:val="left"/>
        <w:rPr>
          <w:rFonts w:ascii="Verdana" w:hAnsi="Verdana" w:cs="Open Sans Light"/>
          <w:i/>
          <w:color w:val="000000" w:themeColor="text1"/>
          <w:sz w:val="16"/>
          <w:szCs w:val="16"/>
        </w:rPr>
      </w:pPr>
    </w:p>
    <w:p w14:paraId="5E5DDC12" w14:textId="47028DCA" w:rsidR="000B13E8" w:rsidRDefault="000B13E8" w:rsidP="000B13E8">
      <w:pPr>
        <w:rPr>
          <w:rFonts w:ascii="Verdana" w:hAnsi="Verdana"/>
          <w:i/>
          <w:iCs/>
          <w:sz w:val="16"/>
          <w:szCs w:val="16"/>
        </w:rPr>
      </w:pPr>
      <w:r w:rsidRPr="000B13E8">
        <w:rPr>
          <w:rFonts w:ascii="Verdana" w:hAnsi="Verdana"/>
          <w:i/>
          <w:iCs/>
          <w:sz w:val="16"/>
          <w:szCs w:val="16"/>
        </w:rPr>
        <w:t>„Citus“ analizės skyriaus vadovė Eglė Savostė</w:t>
      </w:r>
    </w:p>
    <w:p w14:paraId="674FDE94" w14:textId="77777777" w:rsidR="00611DCA" w:rsidRDefault="00611DCA" w:rsidP="00611DCA">
      <w:pPr>
        <w:rPr>
          <w:rFonts w:ascii="Verdana" w:hAnsi="Verdana"/>
          <w:b/>
          <w:bCs/>
          <w:sz w:val="18"/>
          <w:szCs w:val="20"/>
        </w:rPr>
      </w:pPr>
      <w:r w:rsidRPr="00611DCA">
        <w:rPr>
          <w:rFonts w:ascii="Verdana" w:hAnsi="Verdana"/>
          <w:b/>
          <w:bCs/>
          <w:sz w:val="18"/>
          <w:szCs w:val="20"/>
        </w:rPr>
        <w:t>Lietuvoje vis dažniau svarstoma apie nekilnojamąjį turtą ne</w:t>
      </w:r>
      <w:r>
        <w:rPr>
          <w:rFonts w:ascii="Verdana" w:hAnsi="Verdana"/>
          <w:b/>
          <w:bCs/>
          <w:sz w:val="18"/>
          <w:szCs w:val="20"/>
        </w:rPr>
        <w:t xml:space="preserve"> tik</w:t>
      </w:r>
      <w:r w:rsidRPr="00611DCA">
        <w:rPr>
          <w:rFonts w:ascii="Verdana" w:hAnsi="Verdana"/>
          <w:b/>
          <w:bCs/>
          <w:sz w:val="18"/>
          <w:szCs w:val="20"/>
        </w:rPr>
        <w:t xml:space="preserve"> kaip apie vietą gyventi, </w:t>
      </w:r>
      <w:r>
        <w:rPr>
          <w:rFonts w:ascii="Verdana" w:hAnsi="Verdana"/>
          <w:b/>
          <w:bCs/>
          <w:sz w:val="18"/>
          <w:szCs w:val="20"/>
        </w:rPr>
        <w:t>bet</w:t>
      </w:r>
      <w:r w:rsidRPr="00611DCA">
        <w:rPr>
          <w:rFonts w:ascii="Verdana" w:hAnsi="Verdana"/>
          <w:b/>
          <w:bCs/>
          <w:sz w:val="18"/>
          <w:szCs w:val="20"/>
        </w:rPr>
        <w:t xml:space="preserve"> kaip apie ilgalaikį kapitalo augimo įrankį. Vilniaus transformacija – geriausias pavyzdys: buvę pramoniniai rajonai tampa paklausiausiomis gyvenimo erdvėmis. </w:t>
      </w:r>
      <w:r>
        <w:rPr>
          <w:rFonts w:ascii="Verdana" w:hAnsi="Verdana"/>
          <w:b/>
          <w:bCs/>
          <w:sz w:val="18"/>
          <w:szCs w:val="20"/>
        </w:rPr>
        <w:t>Tie, ka</w:t>
      </w:r>
      <w:r w:rsidRPr="00611DCA">
        <w:rPr>
          <w:rFonts w:ascii="Verdana" w:hAnsi="Verdana"/>
          <w:b/>
          <w:bCs/>
          <w:sz w:val="18"/>
          <w:szCs w:val="20"/>
        </w:rPr>
        <w:t>s prieš penkerius metus pirko Vilkpėdėje, šiandien skaičiuoja dvigubą vertės augimą.</w:t>
      </w:r>
    </w:p>
    <w:p w14:paraId="3CAFEE01" w14:textId="4EEFF9D2" w:rsidR="00611DCA" w:rsidRDefault="00611DCA" w:rsidP="00611DCA">
      <w:pPr>
        <w:rPr>
          <w:rFonts w:ascii="Verdana" w:hAnsi="Verdana"/>
          <w:sz w:val="18"/>
          <w:szCs w:val="20"/>
        </w:rPr>
      </w:pPr>
      <w:r w:rsidRPr="00611DCA">
        <w:rPr>
          <w:rFonts w:ascii="Verdana" w:hAnsi="Verdana"/>
          <w:sz w:val="18"/>
          <w:szCs w:val="20"/>
        </w:rPr>
        <w:t>Tačiau prognozuoti sėkmę nepadeda nuojauta – tam reikia duomenų, miesto raidos supratimo ir šiek tiek drąsos.</w:t>
      </w:r>
    </w:p>
    <w:p w14:paraId="55D29B73" w14:textId="744D8147" w:rsidR="00852A5A" w:rsidRDefault="00852A5A" w:rsidP="00611DCA">
      <w:pPr>
        <w:rPr>
          <w:rFonts w:ascii="Verdana" w:hAnsi="Verdana"/>
          <w:b/>
          <w:bCs/>
          <w:sz w:val="18"/>
          <w:szCs w:val="20"/>
        </w:rPr>
      </w:pPr>
      <w:r w:rsidRPr="00852A5A">
        <w:rPr>
          <w:rFonts w:ascii="Verdana" w:hAnsi="Verdana"/>
          <w:b/>
          <w:bCs/>
          <w:sz w:val="18"/>
          <w:szCs w:val="20"/>
        </w:rPr>
        <w:t>Kaip atpažinti vertės augimo užuomazgas?</w:t>
      </w:r>
    </w:p>
    <w:p w14:paraId="0633E971" w14:textId="3AF340C0" w:rsidR="000B13E8" w:rsidRPr="000B13E8" w:rsidRDefault="000B13E8" w:rsidP="00611DCA">
      <w:pPr>
        <w:rPr>
          <w:rFonts w:ascii="Verdana" w:hAnsi="Verdana"/>
          <w:sz w:val="18"/>
          <w:szCs w:val="20"/>
        </w:rPr>
      </w:pPr>
      <w:r w:rsidRPr="000B13E8">
        <w:rPr>
          <w:rFonts w:ascii="Verdana" w:hAnsi="Verdana"/>
          <w:sz w:val="18"/>
          <w:szCs w:val="20"/>
        </w:rPr>
        <w:t>Investavimas</w:t>
      </w:r>
      <w:r w:rsidR="00852A5A">
        <w:rPr>
          <w:rFonts w:ascii="Verdana" w:hAnsi="Verdana"/>
          <w:sz w:val="18"/>
          <w:szCs w:val="20"/>
        </w:rPr>
        <w:t xml:space="preserve"> </w:t>
      </w:r>
      <w:r w:rsidRPr="000B13E8">
        <w:rPr>
          <w:rFonts w:ascii="Verdana" w:hAnsi="Verdana"/>
          <w:sz w:val="18"/>
          <w:szCs w:val="20"/>
        </w:rPr>
        <w:t>į NT yra laikomas viena iš saugiausių ilgalaikių investicijų formų, kurią apsprendžia net ir teisinė sistema – Civilinis Kodeksas garantuoja nuosavybės teises ir suteikia teisinę apsaugą, užtikrinant, kad savininkai gali pasitikėti savo turtu ir juo disponuoti pagal savo valią. Tai suteikia stabilumą ir pasitikėjimą, kad investicijos į NT yra apsaugotos ir nebus lengvai pažeistos. Tuo tarpu kitos investavimo priemonės, tokios kaip akcijos, obligacijos ar kriptovaliutos, gali būti kur kas nepastovesnės, reikalaujančios nuolatinio rinkos stebėjimo ir specialių žinių.</w:t>
      </w:r>
    </w:p>
    <w:p w14:paraId="1699869F" w14:textId="05D27A71" w:rsidR="000B13E8" w:rsidRPr="000B13E8" w:rsidRDefault="000B13E8" w:rsidP="000B13E8">
      <w:pPr>
        <w:rPr>
          <w:rFonts w:ascii="Verdana" w:hAnsi="Verdana"/>
          <w:sz w:val="18"/>
          <w:szCs w:val="20"/>
        </w:rPr>
      </w:pPr>
      <w:r w:rsidRPr="000B13E8">
        <w:rPr>
          <w:rFonts w:ascii="Verdana" w:hAnsi="Verdana"/>
          <w:sz w:val="18"/>
          <w:szCs w:val="20"/>
        </w:rPr>
        <w:t>Investuojant į vertės augimą, svarbu ne tik skaičiuoti, bet ir įsijausti: kaip šis rajonas atrodys po 5–10 metų? Kokių žmonių jis pritrauks? Ar čia kursis bendruomenė, ar vyraus žmonių kaita? Tokie klausimai padeda įžvelgti potencialą dar prieš jam atsiskleidžiant. Investicija į būstą, siekiant jį parduoti pelningai po kelerių metų, reikalauja duomenimis grįsto mikrorajonų vertinimo. Vertės augimą</w:t>
      </w:r>
      <w:r w:rsidR="00611DCA">
        <w:rPr>
          <w:rFonts w:ascii="Verdana" w:hAnsi="Verdana"/>
          <w:sz w:val="18"/>
          <w:szCs w:val="20"/>
        </w:rPr>
        <w:t>, mano įsitikinimu,</w:t>
      </w:r>
      <w:r w:rsidRPr="000B13E8">
        <w:rPr>
          <w:rFonts w:ascii="Verdana" w:hAnsi="Verdana"/>
          <w:sz w:val="18"/>
          <w:szCs w:val="20"/>
        </w:rPr>
        <w:t xml:space="preserve"> lemia trys pagrindiniai veiksniai:</w:t>
      </w:r>
    </w:p>
    <w:p w14:paraId="1ACE2E32" w14:textId="77777777" w:rsidR="000B13E8" w:rsidRPr="000B13E8" w:rsidRDefault="000B13E8" w:rsidP="000B13E8">
      <w:pPr>
        <w:numPr>
          <w:ilvl w:val="0"/>
          <w:numId w:val="34"/>
        </w:numPr>
        <w:spacing w:after="0"/>
        <w:ind w:left="714" w:hanging="357"/>
        <w:rPr>
          <w:rFonts w:ascii="Verdana" w:hAnsi="Verdana"/>
          <w:sz w:val="18"/>
          <w:szCs w:val="20"/>
        </w:rPr>
      </w:pPr>
      <w:r w:rsidRPr="000B13E8">
        <w:rPr>
          <w:rFonts w:ascii="Verdana" w:hAnsi="Verdana"/>
          <w:sz w:val="18"/>
          <w:szCs w:val="20"/>
        </w:rPr>
        <w:t>vystymosi potencialas – infrastruktūra, verslo investicijos ir darbo vietos, švietimo įstaigos;</w:t>
      </w:r>
    </w:p>
    <w:p w14:paraId="72CF02FC" w14:textId="77777777" w:rsidR="000B13E8" w:rsidRPr="000B13E8" w:rsidRDefault="000B13E8" w:rsidP="000B13E8">
      <w:pPr>
        <w:numPr>
          <w:ilvl w:val="0"/>
          <w:numId w:val="34"/>
        </w:numPr>
        <w:spacing w:after="0"/>
        <w:ind w:left="714" w:hanging="357"/>
        <w:rPr>
          <w:rFonts w:ascii="Verdana" w:hAnsi="Verdana"/>
          <w:sz w:val="18"/>
          <w:szCs w:val="20"/>
        </w:rPr>
      </w:pPr>
      <w:r w:rsidRPr="000B13E8">
        <w:rPr>
          <w:rFonts w:ascii="Verdana" w:hAnsi="Verdana"/>
          <w:sz w:val="18"/>
          <w:szCs w:val="20"/>
        </w:rPr>
        <w:t>konkurencinė aplinka – pasiūlos dydis ir dinamika;</w:t>
      </w:r>
    </w:p>
    <w:p w14:paraId="0AB2810D" w14:textId="77777777" w:rsidR="000B13E8" w:rsidRPr="000B13E8" w:rsidRDefault="000B13E8" w:rsidP="000B13E8">
      <w:pPr>
        <w:numPr>
          <w:ilvl w:val="0"/>
          <w:numId w:val="34"/>
        </w:numPr>
        <w:rPr>
          <w:rFonts w:ascii="Verdana" w:hAnsi="Verdana"/>
          <w:sz w:val="18"/>
          <w:szCs w:val="20"/>
        </w:rPr>
      </w:pPr>
      <w:r w:rsidRPr="000B13E8">
        <w:rPr>
          <w:rFonts w:ascii="Verdana" w:hAnsi="Verdana"/>
          <w:sz w:val="18"/>
          <w:szCs w:val="20"/>
        </w:rPr>
        <w:t>rinkos ciklas – būsto kainų pokytis per tam tikrą laikotarpį.</w:t>
      </w:r>
    </w:p>
    <w:p w14:paraId="7D0D7ACE" w14:textId="75D4277B" w:rsidR="000B13E8" w:rsidRPr="000B13E8" w:rsidRDefault="000B13E8" w:rsidP="000B13E8">
      <w:pPr>
        <w:rPr>
          <w:rFonts w:ascii="Verdana" w:hAnsi="Verdana"/>
          <w:sz w:val="18"/>
          <w:szCs w:val="20"/>
        </w:rPr>
      </w:pPr>
      <w:r w:rsidRPr="000B13E8">
        <w:rPr>
          <w:rFonts w:ascii="Verdana" w:hAnsi="Verdana"/>
          <w:sz w:val="18"/>
          <w:szCs w:val="20"/>
        </w:rPr>
        <w:t xml:space="preserve">Tokie klausimai padeda į investicijas žiūrėti strategiškai, o ne </w:t>
      </w:r>
      <w:r>
        <w:rPr>
          <w:rFonts w:ascii="Verdana" w:hAnsi="Verdana"/>
          <w:sz w:val="18"/>
          <w:szCs w:val="20"/>
        </w:rPr>
        <w:t xml:space="preserve">iš </w:t>
      </w:r>
      <w:r w:rsidRPr="000B13E8">
        <w:rPr>
          <w:rFonts w:ascii="Verdana" w:hAnsi="Verdana"/>
          <w:sz w:val="18"/>
          <w:szCs w:val="20"/>
        </w:rPr>
        <w:t>trumpalaik</w:t>
      </w:r>
      <w:r>
        <w:rPr>
          <w:rFonts w:ascii="Verdana" w:hAnsi="Verdana"/>
          <w:sz w:val="18"/>
          <w:szCs w:val="20"/>
        </w:rPr>
        <w:t>ės perspektyvos</w:t>
      </w:r>
      <w:r w:rsidRPr="000B13E8">
        <w:rPr>
          <w:rFonts w:ascii="Verdana" w:hAnsi="Verdana"/>
          <w:sz w:val="18"/>
          <w:szCs w:val="20"/>
        </w:rPr>
        <w:t>.</w:t>
      </w:r>
    </w:p>
    <w:p w14:paraId="092D1BB0" w14:textId="77777777" w:rsidR="000B13E8" w:rsidRPr="000B13E8" w:rsidRDefault="000B13E8" w:rsidP="000B13E8">
      <w:pPr>
        <w:rPr>
          <w:rFonts w:ascii="Verdana" w:hAnsi="Verdana"/>
          <w:sz w:val="18"/>
          <w:szCs w:val="20"/>
        </w:rPr>
      </w:pPr>
      <w:r w:rsidRPr="000B13E8">
        <w:rPr>
          <w:rFonts w:ascii="Verdana" w:hAnsi="Verdana"/>
          <w:sz w:val="18"/>
          <w:szCs w:val="20"/>
        </w:rPr>
        <w:t>Norint priimti pagrįstą sprendimą dėl investicijos, vien tik kainų pokyčių ar ROI skaičių neužtenka. Reikia pažvelgti į gilumines priežastis, kurios lemia kainų augimą: savivaldybės planuojamą infrastruktūrą, švietimo įstaigų plėtrą, konkurencinę pasiūlą (ar aplink nėra dar 10 analogiškų projektų?), miesto strategiją ir net gyventojų skaičiaus pokyčius.</w:t>
      </w:r>
    </w:p>
    <w:p w14:paraId="228BE32A" w14:textId="77777777" w:rsidR="000B13E8" w:rsidRDefault="000B13E8" w:rsidP="000B13E8">
      <w:pPr>
        <w:rPr>
          <w:rFonts w:ascii="Verdana" w:hAnsi="Verdana"/>
          <w:sz w:val="18"/>
          <w:szCs w:val="20"/>
        </w:rPr>
      </w:pPr>
      <w:r w:rsidRPr="000B13E8">
        <w:rPr>
          <w:rFonts w:ascii="Verdana" w:hAnsi="Verdana"/>
          <w:sz w:val="18"/>
          <w:szCs w:val="20"/>
        </w:rPr>
        <w:t>Dažnai būtent šie pokyčiai signalizuoja apie vertės kilimą dar iki tol, kol jis atsispindi kainose.</w:t>
      </w:r>
    </w:p>
    <w:p w14:paraId="6B968CE2" w14:textId="77777777" w:rsidR="000B13E8" w:rsidRPr="000B13E8" w:rsidRDefault="000B13E8" w:rsidP="000B13E8">
      <w:pPr>
        <w:rPr>
          <w:rFonts w:ascii="Verdana" w:hAnsi="Verdana"/>
          <w:sz w:val="18"/>
          <w:szCs w:val="20"/>
        </w:rPr>
      </w:pPr>
      <w:r w:rsidRPr="000B13E8">
        <w:rPr>
          <w:rFonts w:ascii="Verdana" w:hAnsi="Verdana"/>
          <w:sz w:val="18"/>
          <w:szCs w:val="20"/>
        </w:rPr>
        <w:t>Rinkos patrauklumas ir vertės augimo greitis glaudžiai siejasi su pasiūlos ir paklausos balansu. „Citus“ duomenys rodo, kad per artimiausius 5 metus būsto vertė besivystančiuose rajonuose – Žirmūnuose, Naujamiestyje, Vilkpėdėje, Naujininkuose – gali išaugti 30–40 proc., tuo tarpu brandžiuose rajonuose, tokiuose, kaip Senamiestis, Antakalnis, nemaža dalis miegamųjų rajonų – apie 20–25 proc.</w:t>
      </w:r>
    </w:p>
    <w:p w14:paraId="110E2AA9" w14:textId="4D2E573C" w:rsidR="00852A5A" w:rsidRPr="00852A5A" w:rsidRDefault="00852A5A" w:rsidP="000B13E8">
      <w:pPr>
        <w:rPr>
          <w:rFonts w:ascii="Verdana" w:hAnsi="Verdana"/>
          <w:b/>
          <w:bCs/>
          <w:sz w:val="18"/>
          <w:szCs w:val="20"/>
        </w:rPr>
      </w:pPr>
      <w:r w:rsidRPr="00852A5A">
        <w:rPr>
          <w:rFonts w:ascii="Verdana" w:hAnsi="Verdana"/>
          <w:b/>
          <w:bCs/>
          <w:sz w:val="18"/>
          <w:szCs w:val="20"/>
        </w:rPr>
        <w:t>Vilnius: aiškūs lyderiai ir besikeičiantys rajonai</w:t>
      </w:r>
    </w:p>
    <w:p w14:paraId="09A7B703" w14:textId="678D750B" w:rsidR="000B13E8" w:rsidRPr="000B13E8" w:rsidRDefault="000B13E8" w:rsidP="000B13E8">
      <w:pPr>
        <w:rPr>
          <w:rFonts w:ascii="Verdana" w:hAnsi="Verdana"/>
          <w:sz w:val="18"/>
          <w:szCs w:val="20"/>
        </w:rPr>
      </w:pPr>
      <w:r w:rsidRPr="000B13E8">
        <w:rPr>
          <w:rFonts w:ascii="Verdana" w:hAnsi="Verdana"/>
          <w:sz w:val="18"/>
          <w:szCs w:val="20"/>
        </w:rPr>
        <w:t xml:space="preserve">Pavyzdžiui, pagal „Citus“ analitikų </w:t>
      </w:r>
      <w:r w:rsidR="00611DCA">
        <w:rPr>
          <w:rFonts w:ascii="Verdana" w:hAnsi="Verdana"/>
          <w:sz w:val="18"/>
          <w:szCs w:val="20"/>
        </w:rPr>
        <w:t xml:space="preserve">turimus </w:t>
      </w:r>
      <w:r w:rsidRPr="000B13E8">
        <w:rPr>
          <w:rFonts w:ascii="Verdana" w:hAnsi="Verdana"/>
          <w:sz w:val="18"/>
          <w:szCs w:val="20"/>
        </w:rPr>
        <w:t>duomenis, 3 labiausiai iki šiol vertę auginę mikrorajonai yra Vilkpėdė, Užupis (įskaitant Paupį) ir Šnipiškės. Vilkpėdėje 2018 m. naujos statybos butai kainavo apie 1 565 Eur/kv. m, o 2025 metais – 3 920 Eur/kv. m, taigi, naujų butų kainos augo apie 150 proc. Buvo išplėtoti 8 nauji projektai su maždaug 1 160 butų, šiuo metu plėtra vyksta 4 projektuose su 835 butais. Užupyje ir Paupyje nuo 2018 m. naujos statybos butai brango apie 136 proc., Šnipiškėse – 129 proc.</w:t>
      </w:r>
    </w:p>
    <w:p w14:paraId="022499C7" w14:textId="77777777" w:rsidR="000B13E8" w:rsidRPr="000B13E8" w:rsidRDefault="000B13E8" w:rsidP="000B13E8">
      <w:pPr>
        <w:rPr>
          <w:rFonts w:ascii="Verdana" w:hAnsi="Verdana"/>
          <w:sz w:val="18"/>
          <w:szCs w:val="20"/>
        </w:rPr>
      </w:pPr>
      <w:r w:rsidRPr="000B13E8">
        <w:rPr>
          <w:rFonts w:ascii="Verdana" w:hAnsi="Verdana"/>
          <w:sz w:val="18"/>
          <w:szCs w:val="20"/>
        </w:rPr>
        <w:t>Tuo tarpu mikrorajonai, kurie, tikėtina, ateityje vertę augins ribotai, yra Antakalnis, Žvėrynas, Naujoji Vilnia. Pirmuosiuose jau susiformavo aukštas kainų lygis, o plėtros galimybės – ribotos. Naujojoje Vilnioje trūksta nuoseklios miesto vizijos, dominuoja senos statybos butų fondas.</w:t>
      </w:r>
    </w:p>
    <w:p w14:paraId="512C16CC" w14:textId="77777777" w:rsidR="000B13E8" w:rsidRDefault="000B13E8" w:rsidP="000B13E8">
      <w:pPr>
        <w:rPr>
          <w:rFonts w:ascii="Verdana" w:hAnsi="Verdana"/>
          <w:sz w:val="18"/>
          <w:szCs w:val="20"/>
        </w:rPr>
      </w:pPr>
      <w:r w:rsidRPr="000B13E8">
        <w:rPr>
          <w:rFonts w:ascii="Verdana" w:hAnsi="Verdana"/>
          <w:sz w:val="18"/>
          <w:szCs w:val="20"/>
        </w:rPr>
        <w:t>Vilniaus mieste vis labiau ryškėja teritorijos, kurios ateityje, tikėtina, turės didžiausią NT vertės augimo potencialą. Tarp jų – Naujamiestis, Žirmūnai ir Naujininkų šiaurinė dalis. Didžiausią pokytį Naujamiestyje ir Naujininkuose sukels stoties konversija – vienas ambicingiausių miesto projektų. Žirmūnuose svarbi autobusų parko konversija ir miesto siekis įgyvendinti „15 minučių miesto“ koncepciją. Naujininkuose, kurių šiaurinė dalis ribojasi su centru ir Senamiesčiu, vis dar vyrauja žemesnis kainų lygis, tačiau jau numatyti keli aukštesnės klasės projektai.</w:t>
      </w:r>
    </w:p>
    <w:p w14:paraId="5996A277" w14:textId="77777777" w:rsidR="00FB58C0" w:rsidRPr="00FB58C0" w:rsidRDefault="00FB58C0" w:rsidP="00FB58C0">
      <w:pPr>
        <w:rPr>
          <w:rFonts w:ascii="Verdana" w:hAnsi="Verdana"/>
          <w:b/>
          <w:bCs/>
          <w:sz w:val="18"/>
          <w:szCs w:val="20"/>
        </w:rPr>
      </w:pPr>
      <w:r w:rsidRPr="00FB58C0">
        <w:rPr>
          <w:rFonts w:ascii="Verdana" w:hAnsi="Verdana"/>
          <w:b/>
          <w:bCs/>
          <w:sz w:val="18"/>
          <w:szCs w:val="20"/>
        </w:rPr>
        <w:t>Kaunas taip pat rodo aiškias vertės augimo tendencijas</w:t>
      </w:r>
    </w:p>
    <w:p w14:paraId="1D29A4D3" w14:textId="38BA2E7F" w:rsidR="00FB58C0" w:rsidRPr="00FB58C0" w:rsidRDefault="00FB58C0" w:rsidP="00FB58C0">
      <w:pPr>
        <w:rPr>
          <w:rFonts w:ascii="Verdana" w:hAnsi="Verdana"/>
          <w:sz w:val="18"/>
          <w:szCs w:val="20"/>
        </w:rPr>
      </w:pPr>
      <w:r w:rsidRPr="00FB58C0">
        <w:rPr>
          <w:rFonts w:ascii="Verdana" w:hAnsi="Verdana"/>
          <w:sz w:val="18"/>
          <w:szCs w:val="20"/>
        </w:rPr>
        <w:t>Per pastaruosius 4,5 metų Žaliakalnio būsto kainos pakilo apie 63 proc. – nuo maždaug 2 050 Eur/kv. m 2021 m. pradžioje iki 3 350 Eur/kv. m 2025 m. gegužę. Tai ne tik didžiausias augimas mieste, bet ir vienas stabiliausių – be staigių šuolių ar epizodinių kritimų, kuriuos fiksavome kituose rajonuose. Toks nuoseklus kilimas rodo nuolatinį, ne trumpalaikiu efektu paremtą patrauklumą. Žaliakalnis vertinamas dėl žalumos, istorinio charakterio, gero susisiekimo ir stiprios infrastruktūros. Vertę čia kuria ne konkretūs projektai, o pats rajono identitetas. Būtent dėl to šis rajonas išlieka vienu stabiliausių tiek gyvenimui, tiek investicijoms.</w:t>
      </w:r>
    </w:p>
    <w:p w14:paraId="11398DD7" w14:textId="11D7FD16" w:rsidR="00FB58C0" w:rsidRPr="00FB58C0" w:rsidRDefault="00FB58C0" w:rsidP="00FB58C0">
      <w:pPr>
        <w:rPr>
          <w:rFonts w:ascii="Verdana" w:hAnsi="Verdana"/>
          <w:sz w:val="18"/>
          <w:szCs w:val="20"/>
        </w:rPr>
      </w:pPr>
      <w:r w:rsidRPr="00FB58C0">
        <w:rPr>
          <w:rFonts w:ascii="Verdana" w:hAnsi="Verdana"/>
          <w:sz w:val="18"/>
          <w:szCs w:val="20"/>
        </w:rPr>
        <w:t xml:space="preserve">Kauno centras per tą patį laikotarpį patyrė apie 60 proc. kainų augimą – nuo maždaug 2 250 iki 3 650 Eur/kv. m. Tai vienas didžiausių šuolių tarp visų Kauno rajonų, tačiau svarbu įvertinti kontekstą. Centras – riboto dydžio </w:t>
      </w:r>
      <w:r w:rsidRPr="00FB58C0">
        <w:rPr>
          <w:rFonts w:ascii="Verdana" w:hAnsi="Verdana"/>
          <w:sz w:val="18"/>
          <w:szCs w:val="20"/>
        </w:rPr>
        <w:lastRenderedPageBreak/>
        <w:t>teritorija su labai ribota pasiūla. Dauguma pastatų – senos statybos, kultūrinės ar istorinės reikšmės, o naujų projektų atsiranda nereguliariai. Todėl kiekvienas aukštesnės klasės projektas ar net keli aukštesnės kainos sandoriai reikšmingai veikia vidurkius. Šis kainų augimas labiau atspindi didėjantį norą gyventi miesto širdyje – arčiau Senamiesčio, Laisvės alėjos, kultūros objektų. Kitaip tariant, kaina kyla ne todėl, kad pasiūlos daugėja, o todėl, kad jos vis dar trūksta. Tai išlaiko stiprią konkurenciją tarp pirkėjų ir suformuoja aukštą vertės kartelę.</w:t>
      </w:r>
    </w:p>
    <w:p w14:paraId="6F4D5ADA" w14:textId="77777777" w:rsidR="00FB58C0" w:rsidRDefault="00FB58C0" w:rsidP="00FB58C0">
      <w:pPr>
        <w:rPr>
          <w:rFonts w:ascii="Verdana" w:hAnsi="Verdana"/>
          <w:sz w:val="18"/>
          <w:szCs w:val="20"/>
        </w:rPr>
      </w:pPr>
      <w:r w:rsidRPr="00FB58C0">
        <w:rPr>
          <w:rFonts w:ascii="Verdana" w:hAnsi="Verdana"/>
          <w:sz w:val="18"/>
          <w:szCs w:val="20"/>
        </w:rPr>
        <w:t>Tuo tarpu Šančiai per tą patį laikotarpį – nuo 2021 m. pradžios iki 2025 m. gegužės – pabrango apie 53 proc., nuo 2 000 Eur/kv. m iki 3 050 Eur/kv. m. Tai vienas ryškiausių vertės šuolių Kaune, liudijantis spartų rajono transformacijos procesą. Šančiai per pastaruosius metus išgyveno infrastruktūros atnaujinimą, naujų projektų plėtrą ir vis aktyvesnį Nemuno pakrantės potencialo išnaudojimą. Visa tai pritraukė ne tik jaunus pirkėjus, bet ir investuotojus. Rajone stiprėjo naujų projektų paklausa, o kartu augo ir gyventojų lūkesčiai. Vienas ryškiausių šios transformacijos pavyzdžių – projektas „Kaunorama“, iškilęs pačiame Nemuno krante. Tokie ambicingi projektai ne tik keičia konkretaus kvartalo veidą, bet ir kelia viso rajono vertės suvokimą.</w:t>
      </w:r>
    </w:p>
    <w:p w14:paraId="2B84FF04" w14:textId="4C4C595A" w:rsidR="003A41B5" w:rsidRDefault="003A41B5" w:rsidP="00FB58C0">
      <w:pPr>
        <w:rPr>
          <w:rFonts w:ascii="Verdana" w:hAnsi="Verdana"/>
          <w:sz w:val="18"/>
          <w:szCs w:val="20"/>
        </w:rPr>
      </w:pPr>
      <w:r>
        <w:rPr>
          <w:rFonts w:ascii="Verdana" w:hAnsi="Verdana"/>
          <w:sz w:val="18"/>
          <w:szCs w:val="20"/>
        </w:rPr>
        <w:t>Beje, š</w:t>
      </w:r>
      <w:r w:rsidRPr="003A41B5">
        <w:rPr>
          <w:rFonts w:ascii="Verdana" w:hAnsi="Verdana"/>
          <w:sz w:val="18"/>
          <w:szCs w:val="20"/>
        </w:rPr>
        <w:t xml:space="preserve">iuo metu </w:t>
      </w:r>
      <w:r>
        <w:rPr>
          <w:rFonts w:ascii="Verdana" w:hAnsi="Verdana"/>
          <w:sz w:val="18"/>
          <w:szCs w:val="20"/>
        </w:rPr>
        <w:t>būtent</w:t>
      </w:r>
      <w:r w:rsidRPr="003A41B5">
        <w:rPr>
          <w:rFonts w:ascii="Verdana" w:hAnsi="Verdana"/>
          <w:sz w:val="18"/>
          <w:szCs w:val="20"/>
        </w:rPr>
        <w:t xml:space="preserve"> Šančiuose</w:t>
      </w:r>
      <w:r w:rsidRPr="003A41B5">
        <w:rPr>
          <w:rFonts w:ascii="Verdana" w:hAnsi="Verdana"/>
          <w:sz w:val="18"/>
          <w:szCs w:val="20"/>
        </w:rPr>
        <w:t xml:space="preserve"> </w:t>
      </w:r>
      <w:r>
        <w:rPr>
          <w:rFonts w:ascii="Verdana" w:hAnsi="Verdana"/>
          <w:sz w:val="18"/>
          <w:szCs w:val="20"/>
        </w:rPr>
        <w:t xml:space="preserve">yra </w:t>
      </w:r>
      <w:r w:rsidRPr="003A41B5">
        <w:rPr>
          <w:rFonts w:ascii="Verdana" w:hAnsi="Verdana"/>
          <w:sz w:val="18"/>
          <w:szCs w:val="20"/>
        </w:rPr>
        <w:t>didžiausia naujos statybos butų pasiūla</w:t>
      </w:r>
      <w:r>
        <w:rPr>
          <w:rFonts w:ascii="Verdana" w:hAnsi="Verdana"/>
          <w:sz w:val="18"/>
          <w:szCs w:val="20"/>
        </w:rPr>
        <w:t xml:space="preserve"> – ji</w:t>
      </w:r>
      <w:r w:rsidRPr="003A41B5">
        <w:rPr>
          <w:rFonts w:ascii="Verdana" w:hAnsi="Verdana"/>
          <w:sz w:val="18"/>
          <w:szCs w:val="20"/>
        </w:rPr>
        <w:t xml:space="preserve"> sudaro apie 18 proc. visos Kauno pirmines rinkos pasiūlos</w:t>
      </w:r>
      <w:r>
        <w:rPr>
          <w:rFonts w:ascii="Verdana" w:hAnsi="Verdana"/>
          <w:sz w:val="18"/>
          <w:szCs w:val="20"/>
        </w:rPr>
        <w:t>.</w:t>
      </w:r>
    </w:p>
    <w:p w14:paraId="7B395FDB" w14:textId="1D808346" w:rsidR="003A41B5" w:rsidRPr="003A41B5" w:rsidRDefault="003A41B5" w:rsidP="003A41B5">
      <w:pPr>
        <w:rPr>
          <w:rFonts w:ascii="Verdana" w:hAnsi="Verdana"/>
          <w:sz w:val="18"/>
          <w:szCs w:val="20"/>
        </w:rPr>
      </w:pPr>
      <w:r w:rsidRPr="003A41B5">
        <w:rPr>
          <w:rFonts w:ascii="Verdana" w:hAnsi="Verdana"/>
          <w:sz w:val="18"/>
          <w:szCs w:val="20"/>
        </w:rPr>
        <w:t xml:space="preserve">Tarp rajonų, kurių vertė augo lėčiausiai, išsiskiria Dainava, Šilainiai ir Aleksotas. Dainavos kainos per 4,5 metų pakilo nuo ~2 000 iki ~2 500 Eur/kv. m (~25 </w:t>
      </w:r>
      <w:r>
        <w:rPr>
          <w:rFonts w:ascii="Verdana" w:hAnsi="Verdana"/>
          <w:sz w:val="18"/>
          <w:szCs w:val="20"/>
        </w:rPr>
        <w:t>proc.</w:t>
      </w:r>
      <w:r w:rsidRPr="003A41B5">
        <w:rPr>
          <w:rFonts w:ascii="Verdana" w:hAnsi="Verdana"/>
          <w:sz w:val="18"/>
          <w:szCs w:val="20"/>
        </w:rPr>
        <w:t>). Tai vienas tankiausiai urbanizuotų rajonų su vyraujančia senos statybos pasiūla ir ribotomis galimybėmis naujai plėtrai. Čia vertė auga labiau dėl bendros rinkos dinamikos, nei dėl pokyčių rajono viduje.</w:t>
      </w:r>
    </w:p>
    <w:p w14:paraId="40E19298" w14:textId="68456CC6" w:rsidR="003A41B5" w:rsidRPr="003A41B5" w:rsidRDefault="003A41B5" w:rsidP="003A41B5">
      <w:pPr>
        <w:rPr>
          <w:rFonts w:ascii="Verdana" w:hAnsi="Verdana"/>
          <w:sz w:val="18"/>
          <w:szCs w:val="20"/>
        </w:rPr>
      </w:pPr>
      <w:r w:rsidRPr="003A41B5">
        <w:rPr>
          <w:rFonts w:ascii="Verdana" w:hAnsi="Verdana"/>
          <w:sz w:val="18"/>
          <w:szCs w:val="20"/>
        </w:rPr>
        <w:t xml:space="preserve">Šilainiai startavo nuo žemiausios kainos bazės (~1 700 Eur/kv. m) ir šiuo metu pasiekė ~2 100 Eur/kv. m (~23 </w:t>
      </w:r>
      <w:r>
        <w:rPr>
          <w:rFonts w:ascii="Verdana" w:hAnsi="Verdana"/>
          <w:sz w:val="18"/>
          <w:szCs w:val="20"/>
        </w:rPr>
        <w:t>proc.</w:t>
      </w:r>
      <w:r w:rsidRPr="003A41B5">
        <w:rPr>
          <w:rFonts w:ascii="Verdana" w:hAnsi="Verdana"/>
          <w:sz w:val="18"/>
          <w:szCs w:val="20"/>
        </w:rPr>
        <w:t xml:space="preserve"> augimas). Nors pradinis šuolis buvo spartesnis, augimas greitai stabilizavosi. Rajone dominuoja įperkamumo siekiantys pirkėjai, tad kainų lubos pasiekiamos greičiau nei konvertuojamose teritorijose.</w:t>
      </w:r>
    </w:p>
    <w:p w14:paraId="1A34E71C" w14:textId="7FA09151" w:rsidR="003A41B5" w:rsidRDefault="003A41B5" w:rsidP="003A41B5">
      <w:pPr>
        <w:rPr>
          <w:rFonts w:ascii="Verdana" w:hAnsi="Verdana"/>
          <w:sz w:val="18"/>
          <w:szCs w:val="20"/>
        </w:rPr>
      </w:pPr>
      <w:r w:rsidRPr="003A41B5">
        <w:rPr>
          <w:rFonts w:ascii="Verdana" w:hAnsi="Verdana"/>
          <w:sz w:val="18"/>
          <w:szCs w:val="20"/>
        </w:rPr>
        <w:t xml:space="preserve">Aleksoto kainos šoktelėjo nuo ~2 550 iki ~3 500 Eur/kv. m (~36 </w:t>
      </w:r>
      <w:r>
        <w:rPr>
          <w:rFonts w:ascii="Verdana" w:hAnsi="Verdana"/>
          <w:sz w:val="18"/>
          <w:szCs w:val="20"/>
        </w:rPr>
        <w:t>proc.</w:t>
      </w:r>
      <w:r w:rsidRPr="003A41B5">
        <w:rPr>
          <w:rFonts w:ascii="Verdana" w:hAnsi="Verdana"/>
          <w:sz w:val="18"/>
          <w:szCs w:val="20"/>
        </w:rPr>
        <w:t>), tačiau tai vis dar vienas iš lėčiau brangstančių rajonų. Plėtra čia vis dar vyksta fragmentiškai, bet labiausiai vertę kelia zonos prie Nemuno – čia telkiasi aukštesnės klasės projektai, tokie kaip „Nemunaičiai“, reikšmingai išaugę viso rajono vidutinę kainą ir lūkesčius.</w:t>
      </w:r>
    </w:p>
    <w:p w14:paraId="19E8DC60" w14:textId="77777777" w:rsidR="00852A5A" w:rsidRPr="00852A5A" w:rsidRDefault="00852A5A" w:rsidP="00FB58C0">
      <w:pPr>
        <w:rPr>
          <w:rFonts w:ascii="Verdana" w:hAnsi="Verdana"/>
          <w:b/>
          <w:bCs/>
          <w:sz w:val="18"/>
          <w:szCs w:val="20"/>
        </w:rPr>
      </w:pPr>
      <w:r w:rsidRPr="00852A5A">
        <w:rPr>
          <w:rFonts w:ascii="Verdana" w:hAnsi="Verdana"/>
          <w:b/>
          <w:bCs/>
          <w:sz w:val="18"/>
          <w:szCs w:val="20"/>
        </w:rPr>
        <w:t>Klaipėda: rinkos transformacija, kuri vyksta tyliai</w:t>
      </w:r>
    </w:p>
    <w:p w14:paraId="53B46361" w14:textId="678DC039" w:rsidR="002F0675" w:rsidRPr="002F0675" w:rsidRDefault="00D26590" w:rsidP="00FB58C0">
      <w:pPr>
        <w:rPr>
          <w:rFonts w:ascii="Verdana" w:hAnsi="Verdana"/>
          <w:sz w:val="18"/>
          <w:szCs w:val="20"/>
        </w:rPr>
      </w:pPr>
      <w:r>
        <w:rPr>
          <w:rFonts w:ascii="Verdana" w:hAnsi="Verdana"/>
          <w:sz w:val="18"/>
          <w:szCs w:val="20"/>
        </w:rPr>
        <w:t>Klaipėd</w:t>
      </w:r>
      <w:r w:rsidR="002F0675">
        <w:rPr>
          <w:rFonts w:ascii="Verdana" w:hAnsi="Verdana"/>
          <w:sz w:val="18"/>
          <w:szCs w:val="20"/>
        </w:rPr>
        <w:t>a</w:t>
      </w:r>
      <w:r>
        <w:rPr>
          <w:rFonts w:ascii="Verdana" w:hAnsi="Verdana"/>
          <w:sz w:val="18"/>
          <w:szCs w:val="20"/>
        </w:rPr>
        <w:t xml:space="preserve"> </w:t>
      </w:r>
      <w:r w:rsidR="002F0675" w:rsidRPr="002F0675">
        <w:rPr>
          <w:rFonts w:ascii="Verdana" w:hAnsi="Verdana"/>
          <w:sz w:val="18"/>
          <w:szCs w:val="20"/>
        </w:rPr>
        <w:t xml:space="preserve">ilgą laiką buvo vertinama atsargiai dėl </w:t>
      </w:r>
      <w:r w:rsidR="002F0675">
        <w:rPr>
          <w:rFonts w:ascii="Verdana" w:hAnsi="Verdana"/>
          <w:sz w:val="18"/>
          <w:szCs w:val="20"/>
        </w:rPr>
        <w:t>seklesnės</w:t>
      </w:r>
      <w:r w:rsidR="002F0675" w:rsidRPr="002F0675">
        <w:rPr>
          <w:rFonts w:ascii="Verdana" w:hAnsi="Verdana"/>
          <w:sz w:val="18"/>
          <w:szCs w:val="20"/>
        </w:rPr>
        <w:t>, mažiau dinamiškos NT rinkos. Tačiau pastaruoju metu matyti aiški struktūrinė transformacija</w:t>
      </w:r>
      <w:r w:rsidR="002F0675">
        <w:rPr>
          <w:rFonts w:ascii="Verdana" w:hAnsi="Verdana"/>
          <w:sz w:val="18"/>
          <w:szCs w:val="20"/>
        </w:rPr>
        <w:t>:</w:t>
      </w:r>
      <w:r w:rsidR="002F0675" w:rsidRPr="002F0675">
        <w:rPr>
          <w:rFonts w:ascii="Verdana" w:hAnsi="Verdana"/>
          <w:sz w:val="18"/>
          <w:szCs w:val="20"/>
        </w:rPr>
        <w:t xml:space="preserve"> </w:t>
      </w:r>
      <w:r w:rsidR="002F0675">
        <w:rPr>
          <w:rFonts w:ascii="Verdana" w:hAnsi="Verdana"/>
          <w:sz w:val="18"/>
          <w:szCs w:val="20"/>
        </w:rPr>
        <w:t>p</w:t>
      </w:r>
      <w:r w:rsidR="002F0675" w:rsidRPr="002F0675">
        <w:rPr>
          <w:rFonts w:ascii="Verdana" w:hAnsi="Verdana"/>
          <w:sz w:val="18"/>
          <w:szCs w:val="20"/>
        </w:rPr>
        <w:t xml:space="preserve">lėtra koncentruojasi </w:t>
      </w:r>
      <w:r w:rsidR="00F04062">
        <w:rPr>
          <w:rFonts w:ascii="Verdana" w:hAnsi="Verdana"/>
          <w:sz w:val="18"/>
          <w:szCs w:val="20"/>
        </w:rPr>
        <w:t xml:space="preserve">centrinėje ir </w:t>
      </w:r>
      <w:r w:rsidR="002F0675" w:rsidRPr="002F0675">
        <w:rPr>
          <w:rFonts w:ascii="Verdana" w:hAnsi="Verdana"/>
          <w:sz w:val="18"/>
          <w:szCs w:val="20"/>
        </w:rPr>
        <w:t>pietinėje miesto daly</w:t>
      </w:r>
      <w:r w:rsidR="00F04062">
        <w:rPr>
          <w:rFonts w:ascii="Verdana" w:hAnsi="Verdana"/>
          <w:sz w:val="18"/>
          <w:szCs w:val="20"/>
        </w:rPr>
        <w:t>se</w:t>
      </w:r>
      <w:r w:rsidR="002F0675" w:rsidRPr="002F0675">
        <w:rPr>
          <w:rFonts w:ascii="Verdana" w:hAnsi="Verdana"/>
          <w:sz w:val="18"/>
          <w:szCs w:val="20"/>
        </w:rPr>
        <w:t>, kur vystomi modernūs daugiabučių projektai, o paklausa kyla dėl artimo atstumo iki centro ir patogios infrastruktūros.</w:t>
      </w:r>
    </w:p>
    <w:p w14:paraId="48D2A462" w14:textId="47067DC0" w:rsidR="00D26590" w:rsidRDefault="00F04062" w:rsidP="002F0675">
      <w:pPr>
        <w:rPr>
          <w:rFonts w:ascii="Verdana" w:hAnsi="Verdana"/>
          <w:sz w:val="18"/>
          <w:szCs w:val="20"/>
        </w:rPr>
      </w:pPr>
      <w:r>
        <w:rPr>
          <w:rFonts w:ascii="Verdana" w:hAnsi="Verdana"/>
          <w:sz w:val="18"/>
          <w:szCs w:val="20"/>
        </w:rPr>
        <w:t>Mieste</w:t>
      </w:r>
      <w:r w:rsidR="002F0675" w:rsidRPr="002F0675">
        <w:rPr>
          <w:rFonts w:ascii="Verdana" w:hAnsi="Verdana"/>
          <w:sz w:val="18"/>
          <w:szCs w:val="20"/>
        </w:rPr>
        <w:t xml:space="preserve"> aktyviai </w:t>
      </w:r>
      <w:r w:rsidR="002F0675">
        <w:rPr>
          <w:rFonts w:ascii="Verdana" w:hAnsi="Verdana"/>
          <w:sz w:val="18"/>
          <w:szCs w:val="20"/>
        </w:rPr>
        <w:t>vyksta</w:t>
      </w:r>
      <w:r w:rsidR="002F0675" w:rsidRPr="002F0675">
        <w:rPr>
          <w:rFonts w:ascii="Verdana" w:hAnsi="Verdana"/>
          <w:sz w:val="18"/>
          <w:szCs w:val="20"/>
        </w:rPr>
        <w:t xml:space="preserve"> konversij</w:t>
      </w:r>
      <w:r w:rsidR="002F0675">
        <w:rPr>
          <w:rFonts w:ascii="Verdana" w:hAnsi="Verdana"/>
          <w:sz w:val="18"/>
          <w:szCs w:val="20"/>
        </w:rPr>
        <w:t>os</w:t>
      </w:r>
      <w:r w:rsidR="002F0675" w:rsidRPr="002F0675">
        <w:rPr>
          <w:rFonts w:ascii="Verdana" w:hAnsi="Verdana"/>
          <w:sz w:val="18"/>
          <w:szCs w:val="20"/>
        </w:rPr>
        <w:t xml:space="preserve"> projekt</w:t>
      </w:r>
      <w:r w:rsidR="002F0675">
        <w:rPr>
          <w:rFonts w:ascii="Verdana" w:hAnsi="Verdana"/>
          <w:sz w:val="18"/>
          <w:szCs w:val="20"/>
        </w:rPr>
        <w:t>ai, kurie, dėl miesto istorijos, vokiškos architektūros paveldo yra išskirtiniai ir užduoda prestižo bei kokybės toną. Nors uostamiestyje, kaip ir Kaune, plėtotojų rinkos struktūra yra smulkesnė nei sostinėje, čia kylantys nauji projektai gerokai labiau veikia aplink</w:t>
      </w:r>
      <w:r w:rsidR="005E7887">
        <w:rPr>
          <w:rFonts w:ascii="Verdana" w:hAnsi="Verdana"/>
          <w:sz w:val="18"/>
          <w:szCs w:val="20"/>
        </w:rPr>
        <w:t xml:space="preserve">ines teritorijas, augina prestižą. Pavyzdžiui, vasario mėnesį Klaipėdoje startavo net du „premium“ segmento projektai, kurie viso miesto vidutines </w:t>
      </w:r>
      <w:r w:rsidR="002F0675" w:rsidRPr="002F0675">
        <w:rPr>
          <w:rFonts w:ascii="Verdana" w:hAnsi="Verdana"/>
          <w:sz w:val="18"/>
          <w:szCs w:val="20"/>
        </w:rPr>
        <w:t xml:space="preserve"> </w:t>
      </w:r>
      <w:r w:rsidR="005E7887">
        <w:rPr>
          <w:rFonts w:ascii="Verdana" w:hAnsi="Verdana"/>
          <w:sz w:val="18"/>
          <w:szCs w:val="20"/>
        </w:rPr>
        <w:t>pasiūlos kainas pašokdino beveik iki Vilniaus lygio. Praktika rodo, kad tokie projektai augina ir aplinkinių būstų vertę, o stebint pozityvią miesto plėtros tendenciją</w:t>
      </w:r>
      <w:r w:rsidR="00FB58C0">
        <w:rPr>
          <w:rFonts w:ascii="Verdana" w:hAnsi="Verdana"/>
          <w:sz w:val="18"/>
          <w:szCs w:val="20"/>
        </w:rPr>
        <w:t xml:space="preserve">, </w:t>
      </w:r>
      <w:r w:rsidR="00FB58C0" w:rsidRPr="002F0675">
        <w:rPr>
          <w:rFonts w:ascii="Verdana" w:hAnsi="Verdana"/>
          <w:sz w:val="18"/>
          <w:szCs w:val="20"/>
        </w:rPr>
        <w:t>aktyvi</w:t>
      </w:r>
      <w:r w:rsidR="00FB58C0">
        <w:rPr>
          <w:rFonts w:ascii="Verdana" w:hAnsi="Verdana"/>
          <w:sz w:val="18"/>
          <w:szCs w:val="20"/>
        </w:rPr>
        <w:t>ą</w:t>
      </w:r>
      <w:r w:rsidR="00FB58C0" w:rsidRPr="002F0675">
        <w:rPr>
          <w:rFonts w:ascii="Verdana" w:hAnsi="Verdana"/>
          <w:sz w:val="18"/>
          <w:szCs w:val="20"/>
        </w:rPr>
        <w:t xml:space="preserve"> jūrų uosto modernizacij</w:t>
      </w:r>
      <w:r w:rsidR="00FB58C0">
        <w:rPr>
          <w:rFonts w:ascii="Verdana" w:hAnsi="Verdana"/>
          <w:sz w:val="18"/>
          <w:szCs w:val="20"/>
        </w:rPr>
        <w:t>ą</w:t>
      </w:r>
      <w:r w:rsidR="00FB58C0" w:rsidRPr="002F0675">
        <w:rPr>
          <w:rFonts w:ascii="Verdana" w:hAnsi="Verdana"/>
          <w:sz w:val="18"/>
          <w:szCs w:val="20"/>
        </w:rPr>
        <w:t xml:space="preserve"> bei viešojo transporto atnaujinimo plan</w:t>
      </w:r>
      <w:r w:rsidR="00FB58C0">
        <w:rPr>
          <w:rFonts w:ascii="Verdana" w:hAnsi="Verdana"/>
          <w:sz w:val="18"/>
          <w:szCs w:val="20"/>
        </w:rPr>
        <w:t>us</w:t>
      </w:r>
      <w:r w:rsidR="00FB58C0" w:rsidRPr="002F0675">
        <w:rPr>
          <w:rFonts w:ascii="Verdana" w:hAnsi="Verdana"/>
          <w:sz w:val="18"/>
          <w:szCs w:val="20"/>
        </w:rPr>
        <w:t>, kurie artimiausiais metais turėtų sustiprinti miesto rytų–vakarų jungtis</w:t>
      </w:r>
      <w:r w:rsidR="00FB58C0">
        <w:rPr>
          <w:rFonts w:ascii="Verdana" w:hAnsi="Verdana"/>
          <w:sz w:val="18"/>
          <w:szCs w:val="20"/>
        </w:rPr>
        <w:t>, bei</w:t>
      </w:r>
      <w:r w:rsidR="00FB58C0" w:rsidRPr="002F0675">
        <w:rPr>
          <w:rFonts w:ascii="Verdana" w:hAnsi="Verdana"/>
          <w:sz w:val="18"/>
          <w:szCs w:val="20"/>
        </w:rPr>
        <w:t xml:space="preserve"> ribot</w:t>
      </w:r>
      <w:r w:rsidR="00FB58C0">
        <w:rPr>
          <w:rFonts w:ascii="Verdana" w:hAnsi="Verdana"/>
          <w:sz w:val="18"/>
          <w:szCs w:val="20"/>
        </w:rPr>
        <w:t>ą</w:t>
      </w:r>
      <w:r w:rsidR="00FB58C0" w:rsidRPr="002F0675">
        <w:rPr>
          <w:rFonts w:ascii="Verdana" w:hAnsi="Verdana"/>
          <w:sz w:val="18"/>
          <w:szCs w:val="20"/>
        </w:rPr>
        <w:t xml:space="preserve"> pasiūl</w:t>
      </w:r>
      <w:r w:rsidR="00FB58C0">
        <w:rPr>
          <w:rFonts w:ascii="Verdana" w:hAnsi="Verdana"/>
          <w:sz w:val="18"/>
          <w:szCs w:val="20"/>
        </w:rPr>
        <w:t>ą</w:t>
      </w:r>
      <w:r w:rsidR="00FB58C0" w:rsidRPr="002F0675">
        <w:rPr>
          <w:rFonts w:ascii="Verdana" w:hAnsi="Verdana"/>
          <w:sz w:val="18"/>
          <w:szCs w:val="20"/>
        </w:rPr>
        <w:t xml:space="preserve"> ir vidutinio kainų augimo potencial</w:t>
      </w:r>
      <w:r w:rsidR="00FB58C0">
        <w:rPr>
          <w:rFonts w:ascii="Verdana" w:hAnsi="Verdana"/>
          <w:sz w:val="18"/>
          <w:szCs w:val="20"/>
        </w:rPr>
        <w:t>ą,</w:t>
      </w:r>
      <w:r w:rsidR="005E7887">
        <w:rPr>
          <w:rFonts w:ascii="Verdana" w:hAnsi="Verdana"/>
          <w:sz w:val="18"/>
          <w:szCs w:val="20"/>
        </w:rPr>
        <w:t xml:space="preserve"> </w:t>
      </w:r>
      <w:r w:rsidR="00FB58C0">
        <w:rPr>
          <w:rFonts w:ascii="Verdana" w:hAnsi="Verdana"/>
          <w:sz w:val="18"/>
          <w:szCs w:val="20"/>
        </w:rPr>
        <w:t>galima tikėtis nemažo įsigyto turto vertės prieaugio.</w:t>
      </w:r>
    </w:p>
    <w:p w14:paraId="23737019" w14:textId="67B0598D" w:rsidR="000B13E8" w:rsidRPr="000B13E8" w:rsidRDefault="000B13E8" w:rsidP="000B13E8">
      <w:pPr>
        <w:rPr>
          <w:rFonts w:ascii="Verdana" w:hAnsi="Verdana"/>
          <w:sz w:val="18"/>
          <w:szCs w:val="20"/>
        </w:rPr>
      </w:pPr>
      <w:r w:rsidRPr="000B13E8">
        <w:rPr>
          <w:rFonts w:ascii="Verdana" w:hAnsi="Verdana"/>
          <w:sz w:val="18"/>
          <w:szCs w:val="20"/>
        </w:rPr>
        <w:t xml:space="preserve">Šiuo metu rinkos aktyvumą palaiko tiek palūkanų mažėjimo lūkesčiai, tiek pirkėjų įsitikinimas, kad būsto vertė ir toliau augs. Tai leidžia daryti prielaidą, kad 2025 m. </w:t>
      </w:r>
      <w:r w:rsidR="000C02B1">
        <w:rPr>
          <w:rFonts w:ascii="Verdana" w:hAnsi="Verdana"/>
          <w:sz w:val="18"/>
          <w:szCs w:val="20"/>
        </w:rPr>
        <w:t>antroji</w:t>
      </w:r>
      <w:r w:rsidRPr="000B13E8">
        <w:rPr>
          <w:rFonts w:ascii="Verdana" w:hAnsi="Verdana"/>
          <w:sz w:val="18"/>
          <w:szCs w:val="20"/>
        </w:rPr>
        <w:t xml:space="preserve"> pusė išliks aktyvi.</w:t>
      </w:r>
    </w:p>
    <w:p w14:paraId="50EC3AD0" w14:textId="0330AA6E" w:rsidR="00611DCA" w:rsidRDefault="00611DCA" w:rsidP="000B13E8">
      <w:pPr>
        <w:rPr>
          <w:rFonts w:ascii="Verdana" w:hAnsi="Verdana"/>
          <w:sz w:val="18"/>
          <w:szCs w:val="20"/>
        </w:rPr>
      </w:pPr>
      <w:r w:rsidRPr="00611DCA">
        <w:rPr>
          <w:rFonts w:ascii="Verdana" w:hAnsi="Verdana"/>
          <w:sz w:val="18"/>
          <w:szCs w:val="20"/>
        </w:rPr>
        <w:t>Pati geriausia investicija dažnai atrodo rizikinga – kol neįvyksta. Rinka visada turės savo ciklus, skaičiai – savo logiką, bet sėkmę lemia ne tik duomenys.</w:t>
      </w:r>
      <w:r>
        <w:rPr>
          <w:rFonts w:ascii="Verdana" w:hAnsi="Verdana"/>
          <w:sz w:val="18"/>
          <w:szCs w:val="20"/>
        </w:rPr>
        <w:t xml:space="preserve"> </w:t>
      </w:r>
      <w:r w:rsidR="000B13E8" w:rsidRPr="000B13E8">
        <w:rPr>
          <w:rFonts w:ascii="Verdana" w:hAnsi="Verdana"/>
          <w:sz w:val="18"/>
          <w:szCs w:val="20"/>
        </w:rPr>
        <w:t>Svarbiausia – ne pagauti „tobulą momentą“, o suprasti, kada tas momentas yra jūsų gyvenime. Rinkos sąlygos keičiasi, palūkanos svyruoja, bet gyvenimas nestovi vietoje. Todėl svarbu ne atidėlioti, o priimti sprendimą tada, kai atsiranda aiškus poreikis – tada būstas tampa sprendimu, o ne problema.</w:t>
      </w:r>
    </w:p>
    <w:p w14:paraId="43157D44" w14:textId="77777777" w:rsidR="000B13E8" w:rsidRPr="0076656D" w:rsidRDefault="000B13E8" w:rsidP="0017754C">
      <w:pPr>
        <w:pBdr>
          <w:bottom w:val="single" w:sz="8" w:space="1" w:color="FFC000"/>
        </w:pBdr>
        <w:rPr>
          <w:rFonts w:ascii="Verdana" w:hAnsi="Verdana"/>
          <w:sz w:val="18"/>
          <w:szCs w:val="20"/>
        </w:rPr>
      </w:pPr>
    </w:p>
    <w:p w14:paraId="3187DF5B" w14:textId="77777777" w:rsidR="0081024D" w:rsidRPr="0076656D" w:rsidRDefault="0081024D" w:rsidP="0081024D">
      <w:pPr>
        <w:spacing w:after="100" w:afterAutospacing="1"/>
        <w:contextualSpacing/>
        <w:mirrorIndents/>
        <w:outlineLvl w:val="0"/>
        <w:rPr>
          <w:rFonts w:ascii="Verdana" w:hAnsi="Verdana" w:cs="Open Sans Light"/>
          <w:b/>
          <w:sz w:val="15"/>
          <w:szCs w:val="15"/>
          <w:shd w:val="clear" w:color="auto" w:fill="FFFFFF"/>
        </w:rPr>
      </w:pPr>
      <w:r w:rsidRPr="0076656D">
        <w:rPr>
          <w:rFonts w:ascii="Verdana" w:hAnsi="Verdana" w:cs="Open Sans Light"/>
          <w:b/>
          <w:sz w:val="15"/>
          <w:szCs w:val="15"/>
          <w:shd w:val="clear" w:color="auto" w:fill="FFFFFF"/>
        </w:rPr>
        <w:t xml:space="preserve">Daugiau informacijos: </w:t>
      </w:r>
    </w:p>
    <w:p w14:paraId="475253FD" w14:textId="686F5081" w:rsidR="00481E6F" w:rsidRPr="0017754C" w:rsidRDefault="0081024D">
      <w:pPr>
        <w:jc w:val="left"/>
        <w:rPr>
          <w:rFonts w:ascii="Verdana" w:hAnsi="Verdana" w:cs="Open Sans Light"/>
          <w:color w:val="3B3838" w:themeColor="background2" w:themeShade="40"/>
          <w:sz w:val="15"/>
          <w:szCs w:val="15"/>
          <w:lang w:eastAsia="lt-LT"/>
        </w:rPr>
      </w:pPr>
      <w:r w:rsidRPr="0076656D">
        <w:rPr>
          <w:rFonts w:ascii="Verdana" w:hAnsi="Verdana" w:cs="Open Sans Light"/>
          <w:sz w:val="15"/>
          <w:szCs w:val="15"/>
          <w:lang w:eastAsia="lt-LT"/>
        </w:rPr>
        <w:t>Rytas Stalnionis</w:t>
      </w:r>
      <w:r w:rsidRPr="0076656D">
        <w:rPr>
          <w:rFonts w:ascii="Verdana" w:hAnsi="Verdana" w:cs="Open Sans Light"/>
          <w:sz w:val="15"/>
          <w:szCs w:val="15"/>
          <w:lang w:eastAsia="lt-LT"/>
        </w:rPr>
        <w:br/>
        <w:t>Komunikacijos vadovas</w:t>
      </w:r>
      <w:r w:rsidRPr="0076656D">
        <w:rPr>
          <w:rFonts w:ascii="Verdana" w:hAnsi="Verdana" w:cs="Open Sans Light"/>
          <w:sz w:val="15"/>
          <w:szCs w:val="15"/>
          <w:lang w:eastAsia="lt-LT"/>
        </w:rPr>
        <w:br/>
        <w:t>Tel.: +370 614 01829</w:t>
      </w:r>
      <w:r w:rsidRPr="0076656D">
        <w:rPr>
          <w:rFonts w:ascii="Verdana" w:hAnsi="Verdana" w:cs="Open Sans Light"/>
          <w:sz w:val="15"/>
          <w:szCs w:val="15"/>
          <w:lang w:eastAsia="lt-LT"/>
        </w:rPr>
        <w:br/>
        <w:t xml:space="preserve">El. paštas </w:t>
      </w:r>
      <w:hyperlink r:id="rId8" w:history="1">
        <w:r w:rsidRPr="0076656D">
          <w:rPr>
            <w:rStyle w:val="Hyperlink"/>
            <w:rFonts w:ascii="Verdana" w:hAnsi="Verdana" w:cs="Open Sans Light"/>
            <w:b/>
            <w:color w:val="3B3838" w:themeColor="background2" w:themeShade="40"/>
            <w:sz w:val="15"/>
            <w:szCs w:val="15"/>
            <w:u w:val="none"/>
            <w:lang w:eastAsia="lt-LT"/>
          </w:rPr>
          <w:t>rytas.stalnionis@citus.lt</w:t>
        </w:r>
      </w:hyperlink>
      <w:r w:rsidRPr="0076656D">
        <w:rPr>
          <w:rFonts w:ascii="Verdana" w:hAnsi="Verdana" w:cs="Open Sans Light"/>
          <w:sz w:val="15"/>
          <w:szCs w:val="15"/>
          <w:lang w:eastAsia="lt-LT"/>
        </w:rPr>
        <w:br/>
      </w:r>
      <w:hyperlink r:id="rId9" w:history="1">
        <w:r w:rsidRPr="0076656D">
          <w:rPr>
            <w:rStyle w:val="Hyperlink"/>
            <w:rFonts w:ascii="Verdana" w:hAnsi="Verdana" w:cs="Open Sans Light"/>
            <w:b/>
            <w:color w:val="3B3838" w:themeColor="background2" w:themeShade="40"/>
            <w:sz w:val="15"/>
            <w:szCs w:val="15"/>
            <w:u w:val="none"/>
            <w:lang w:eastAsia="lt-LT"/>
          </w:rPr>
          <w:t>www.citus.lt</w:t>
        </w:r>
      </w:hyperlink>
    </w:p>
    <w:sectPr w:rsidR="00481E6F" w:rsidRPr="0017754C" w:rsidSect="00B61F58">
      <w:headerReference w:type="default" r:id="rId10"/>
      <w:pgSz w:w="11906" w:h="16838"/>
      <w:pgMar w:top="1418" w:right="567" w:bottom="567" w:left="85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67018D" w14:textId="77777777" w:rsidR="00153AAE" w:rsidRDefault="00153AAE" w:rsidP="00404A94">
      <w:pPr>
        <w:spacing w:after="0"/>
      </w:pPr>
      <w:r>
        <w:separator/>
      </w:r>
    </w:p>
  </w:endnote>
  <w:endnote w:type="continuationSeparator" w:id="0">
    <w:p w14:paraId="70DCD954" w14:textId="77777777" w:rsidR="00153AAE" w:rsidRDefault="00153AAE" w:rsidP="00404A94">
      <w:pPr>
        <w:spacing w:after="0"/>
      </w:pPr>
      <w:r>
        <w:continuationSeparator/>
      </w:r>
    </w:p>
  </w:endnote>
  <w:endnote w:type="continuationNotice" w:id="1">
    <w:p w14:paraId="4C739022" w14:textId="77777777" w:rsidR="00153AAE" w:rsidRDefault="00153AA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00022FF" w:usb1="C000205B" w:usb2="00000009" w:usb3="00000000" w:csb0="000001DF" w:csb1="00000000"/>
  </w:font>
  <w:font w:name="Verdana">
    <w:panose1 w:val="020B0604030504040204"/>
    <w:charset w:val="00"/>
    <w:family w:val="swiss"/>
    <w:pitch w:val="variable"/>
    <w:sig w:usb0="A10006FF" w:usb1="4000205B" w:usb2="00000010" w:usb3="00000000" w:csb0="0000019F" w:csb1="00000000"/>
  </w:font>
  <w:font w:name="Open Sans Light">
    <w:panose1 w:val="020B0306030504020204"/>
    <w:charset w:val="00"/>
    <w:family w:val="swiss"/>
    <w:pitch w:val="variable"/>
    <w:sig w:usb0="E00002EF" w:usb1="4000205B" w:usb2="00000028"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59649D" w14:textId="77777777" w:rsidR="00153AAE" w:rsidRDefault="00153AAE" w:rsidP="00404A94">
      <w:pPr>
        <w:spacing w:after="0"/>
      </w:pPr>
      <w:r>
        <w:separator/>
      </w:r>
    </w:p>
  </w:footnote>
  <w:footnote w:type="continuationSeparator" w:id="0">
    <w:p w14:paraId="10F5B585" w14:textId="77777777" w:rsidR="00153AAE" w:rsidRDefault="00153AAE" w:rsidP="00404A94">
      <w:pPr>
        <w:spacing w:after="0"/>
      </w:pPr>
      <w:r>
        <w:continuationSeparator/>
      </w:r>
    </w:p>
  </w:footnote>
  <w:footnote w:type="continuationNotice" w:id="1">
    <w:p w14:paraId="0F94C1A3" w14:textId="77777777" w:rsidR="00153AAE" w:rsidRDefault="00153AA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C832CD" w14:textId="66366189" w:rsidR="00E46A19" w:rsidRPr="00E46A19" w:rsidRDefault="00F84055" w:rsidP="00E46A19">
    <w:pPr>
      <w:spacing w:after="0"/>
      <w:jc w:val="left"/>
      <w:rPr>
        <w:rFonts w:ascii="Times New Roman" w:eastAsia="Times New Roman" w:hAnsi="Times New Roman" w:cs="Times New Roman"/>
        <w:sz w:val="24"/>
        <w:szCs w:val="24"/>
        <w:lang w:val="en-US"/>
      </w:rPr>
    </w:pPr>
    <w:r>
      <w:rPr>
        <w:noProof/>
        <w:lang w:val="en-US"/>
      </w:rPr>
      <w:drawing>
        <wp:anchor distT="0" distB="0" distL="114300" distR="114300" simplePos="0" relativeHeight="251658240" behindDoc="0" locked="0" layoutInCell="1" allowOverlap="1" wp14:anchorId="124E77E4" wp14:editId="669F2F81">
          <wp:simplePos x="0" y="0"/>
          <wp:positionH relativeFrom="margin">
            <wp:posOffset>3810</wp:posOffset>
          </wp:positionH>
          <wp:positionV relativeFrom="paragraph">
            <wp:posOffset>-349413</wp:posOffset>
          </wp:positionV>
          <wp:extent cx="6468745" cy="534532"/>
          <wp:effectExtent l="0" t="0" r="0" b="0"/>
          <wp:wrapNone/>
          <wp:docPr id="879240556" name="Picture 8792405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6468745" cy="534532"/>
                  </a:xfrm>
                  <a:prstGeom prst="rect">
                    <a:avLst/>
                  </a:prstGeom>
                </pic:spPr>
              </pic:pic>
            </a:graphicData>
          </a:graphic>
          <wp14:sizeRelH relativeFrom="margin">
            <wp14:pctWidth>0</wp14:pctWidth>
          </wp14:sizeRelH>
          <wp14:sizeRelV relativeFrom="margin">
            <wp14:pctHeight>0</wp14:pctHeight>
          </wp14:sizeRelV>
        </wp:anchor>
      </w:drawing>
    </w:r>
    <w:r w:rsidR="00E46A19" w:rsidRPr="00E46A19">
      <w:rPr>
        <w:rFonts w:ascii="Times New Roman" w:eastAsia="Times New Roman" w:hAnsi="Times New Roman" w:cs="Times New Roman"/>
        <w:sz w:val="24"/>
        <w:szCs w:val="24"/>
        <w:lang w:val="en-US"/>
      </w:rPr>
      <w:fldChar w:fldCharType="begin"/>
    </w:r>
    <w:r w:rsidR="00E46A19" w:rsidRPr="00E46A19">
      <w:rPr>
        <w:rFonts w:ascii="Times New Roman" w:eastAsia="Times New Roman" w:hAnsi="Times New Roman" w:cs="Times New Roman"/>
        <w:sz w:val="24"/>
        <w:szCs w:val="24"/>
        <w:lang w:val="en-US"/>
      </w:rPr>
      <w:instrText xml:space="preserve"> INCLUDEPICTURE "http://lntpa.lt/wp-content/themes/lntpa-front/img/logo.png" \* MERGEFORMATINET </w:instrText>
    </w:r>
    <w:r w:rsidR="00E46A19" w:rsidRPr="00E46A19">
      <w:rPr>
        <w:rFonts w:ascii="Times New Roman" w:eastAsia="Times New Roman" w:hAnsi="Times New Roman" w:cs="Times New Roman"/>
        <w:sz w:val="24"/>
        <w:szCs w:val="24"/>
        <w:lang w:val="en-US"/>
      </w:rPr>
      <w:fldChar w:fldCharType="end"/>
    </w:r>
  </w:p>
  <w:p w14:paraId="1FC68457" w14:textId="67EF6659" w:rsidR="00404A94" w:rsidRDefault="00404A94">
    <w:pPr>
      <w:pStyle w:val="Header"/>
    </w:pPr>
  </w:p>
  <w:p w14:paraId="69503709" w14:textId="0F2DF9DD" w:rsidR="00404A94" w:rsidRDefault="00404A94">
    <w:pPr>
      <w:pStyle w:val="Header"/>
    </w:pPr>
  </w:p>
  <w:p w14:paraId="10703575" w14:textId="77777777" w:rsidR="00404A94" w:rsidRDefault="00404A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3829A3"/>
    <w:multiLevelType w:val="multilevel"/>
    <w:tmpl w:val="0920846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92223A"/>
    <w:multiLevelType w:val="hybridMultilevel"/>
    <w:tmpl w:val="73CE27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881B0B"/>
    <w:multiLevelType w:val="hybridMultilevel"/>
    <w:tmpl w:val="E8325F64"/>
    <w:lvl w:ilvl="0" w:tplc="1F22B208">
      <w:start w:val="1"/>
      <w:numFmt w:val="bullet"/>
      <w:lvlText w:val=""/>
      <w:lvlJc w:val="left"/>
      <w:pPr>
        <w:ind w:left="720" w:hanging="360"/>
      </w:pPr>
      <w:rPr>
        <w:rFonts w:ascii="Symbol" w:hAnsi="Symbol" w:hint="default"/>
        <w:color w:val="FFC000"/>
      </w:rPr>
    </w:lvl>
    <w:lvl w:ilvl="1" w:tplc="1646BB9A">
      <w:start w:val="1"/>
      <w:numFmt w:val="bullet"/>
      <w:lvlText w:val="–"/>
      <w:lvlJc w:val="left"/>
      <w:pPr>
        <w:ind w:left="1440" w:hanging="360"/>
      </w:pPr>
      <w:rPr>
        <w:rFonts w:ascii="Courier New" w:hAnsi="Courier New" w:hint="default"/>
        <w:color w:val="FFC000"/>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CB9357A"/>
    <w:multiLevelType w:val="hybridMultilevel"/>
    <w:tmpl w:val="EB2801C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00B3517"/>
    <w:multiLevelType w:val="hybridMultilevel"/>
    <w:tmpl w:val="9D044534"/>
    <w:lvl w:ilvl="0" w:tplc="41663E14">
      <w:start w:val="1"/>
      <w:numFmt w:val="decimal"/>
      <w:lvlText w:val="%1."/>
      <w:lvlJc w:val="left"/>
      <w:pPr>
        <w:ind w:left="720" w:hanging="360"/>
      </w:pPr>
      <w:rPr>
        <w:b/>
        <w:bCs/>
        <w:color w:val="FFC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DC2E1C"/>
    <w:multiLevelType w:val="hybridMultilevel"/>
    <w:tmpl w:val="2220A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334606"/>
    <w:multiLevelType w:val="hybridMultilevel"/>
    <w:tmpl w:val="09CC2A08"/>
    <w:lvl w:ilvl="0" w:tplc="0D6892BA">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E81308"/>
    <w:multiLevelType w:val="hybridMultilevel"/>
    <w:tmpl w:val="A65A7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EF69C9"/>
    <w:multiLevelType w:val="hybridMultilevel"/>
    <w:tmpl w:val="C484736A"/>
    <w:lvl w:ilvl="0" w:tplc="0D6892BA">
      <w:start w:val="1"/>
      <w:numFmt w:val="bullet"/>
      <w:lvlText w:val=""/>
      <w:lvlJc w:val="left"/>
      <w:pPr>
        <w:ind w:left="720" w:hanging="360"/>
      </w:pPr>
      <w:rPr>
        <w:rFonts w:ascii="Symbol" w:hAnsi="Symbol" w:hint="default"/>
        <w:color w:val="FFC000"/>
      </w:rPr>
    </w:lvl>
    <w:lvl w:ilvl="1" w:tplc="0A98A6C2">
      <w:start w:val="1"/>
      <w:numFmt w:val="bullet"/>
      <w:lvlText w:val=""/>
      <w:lvlJc w:val="left"/>
      <w:pPr>
        <w:ind w:left="1440" w:hanging="360"/>
      </w:pPr>
      <w:rPr>
        <w:rFonts w:ascii="Symbol" w:hAnsi="Symbol" w:hint="default"/>
        <w:color w:val="808080" w:themeColor="background1"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AD5E54"/>
    <w:multiLevelType w:val="hybridMultilevel"/>
    <w:tmpl w:val="C5E21E66"/>
    <w:lvl w:ilvl="0" w:tplc="75082596">
      <w:start w:val="1"/>
      <w:numFmt w:val="bullet"/>
      <w:lvlText w:val=""/>
      <w:lvlJc w:val="left"/>
      <w:pPr>
        <w:ind w:left="720" w:hanging="360"/>
      </w:pPr>
      <w:rPr>
        <w:rFonts w:ascii="Symbol" w:hAnsi="Symbol" w:hint="default"/>
        <w:color w:val="DAA6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91438C"/>
    <w:multiLevelType w:val="hybridMultilevel"/>
    <w:tmpl w:val="0EDC73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52D4C5A"/>
    <w:multiLevelType w:val="hybridMultilevel"/>
    <w:tmpl w:val="810E674E"/>
    <w:lvl w:ilvl="0" w:tplc="A600C59C">
      <w:start w:val="1"/>
      <w:numFmt w:val="bullet"/>
      <w:lvlText w:val=""/>
      <w:lvlJc w:val="left"/>
      <w:pPr>
        <w:ind w:left="720" w:hanging="360"/>
      </w:pPr>
      <w:rPr>
        <w:rFonts w:ascii="Symbol" w:hAnsi="Symbol" w:hint="default"/>
        <w:color w:val="FFC000" w:themeColor="accent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DD1824"/>
    <w:multiLevelType w:val="multilevel"/>
    <w:tmpl w:val="C4267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46805A2"/>
    <w:multiLevelType w:val="multilevel"/>
    <w:tmpl w:val="0920846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75F5691"/>
    <w:multiLevelType w:val="multilevel"/>
    <w:tmpl w:val="75106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8C451EE"/>
    <w:multiLevelType w:val="hybridMultilevel"/>
    <w:tmpl w:val="DE96BAE4"/>
    <w:lvl w:ilvl="0" w:tplc="69E2A17A">
      <w:start w:val="1"/>
      <w:numFmt w:val="decimal"/>
      <w:lvlText w:val="%1."/>
      <w:lvlJc w:val="left"/>
      <w:pPr>
        <w:ind w:left="720" w:hanging="360"/>
      </w:pPr>
      <w:rPr>
        <w:rFonts w:hint="default"/>
        <w:b/>
        <w:bCs/>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18618A"/>
    <w:multiLevelType w:val="hybridMultilevel"/>
    <w:tmpl w:val="4A286D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DA737EC"/>
    <w:multiLevelType w:val="multilevel"/>
    <w:tmpl w:val="52949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03C4D0E"/>
    <w:multiLevelType w:val="multilevel"/>
    <w:tmpl w:val="AD841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30B0F3E"/>
    <w:multiLevelType w:val="hybridMultilevel"/>
    <w:tmpl w:val="E272EB22"/>
    <w:lvl w:ilvl="0" w:tplc="0D6892BA">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3133CF1"/>
    <w:multiLevelType w:val="hybridMultilevel"/>
    <w:tmpl w:val="316091A4"/>
    <w:lvl w:ilvl="0" w:tplc="C5AE4714">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3D13D46"/>
    <w:multiLevelType w:val="hybridMultilevel"/>
    <w:tmpl w:val="C4F2F01C"/>
    <w:lvl w:ilvl="0" w:tplc="EEA60D74">
      <w:start w:val="1"/>
      <w:numFmt w:val="bullet"/>
      <w:lvlText w:val=""/>
      <w:lvlJc w:val="left"/>
      <w:pPr>
        <w:ind w:left="720" w:hanging="360"/>
      </w:pPr>
      <w:rPr>
        <w:rFonts w:ascii="Symbol" w:hAnsi="Symbol" w:hint="default"/>
        <w:color w:val="FCD010"/>
        <w:sz w:val="28"/>
      </w:rPr>
    </w:lvl>
    <w:lvl w:ilvl="1" w:tplc="EEB2CD12">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4AB7931"/>
    <w:multiLevelType w:val="hybridMultilevel"/>
    <w:tmpl w:val="4488A3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DFC5BC5"/>
    <w:multiLevelType w:val="hybridMultilevel"/>
    <w:tmpl w:val="8D44F542"/>
    <w:lvl w:ilvl="0" w:tplc="8E18CB84">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8E6ED4"/>
    <w:multiLevelType w:val="multilevel"/>
    <w:tmpl w:val="13005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5F77060"/>
    <w:multiLevelType w:val="hybridMultilevel"/>
    <w:tmpl w:val="D3D65EC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664B2005"/>
    <w:multiLevelType w:val="hybridMultilevel"/>
    <w:tmpl w:val="6F72ECA2"/>
    <w:lvl w:ilvl="0" w:tplc="69E2A17A">
      <w:start w:val="1"/>
      <w:numFmt w:val="decimal"/>
      <w:lvlText w:val="%1."/>
      <w:lvlJc w:val="left"/>
      <w:pPr>
        <w:ind w:left="720" w:hanging="360"/>
      </w:pPr>
      <w:rPr>
        <w:rFonts w:hint="default"/>
        <w:b/>
        <w:bCs/>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AC72A64"/>
    <w:multiLevelType w:val="hybridMultilevel"/>
    <w:tmpl w:val="F9085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E1022CA"/>
    <w:multiLevelType w:val="hybridMultilevel"/>
    <w:tmpl w:val="C91CD8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6F5F6A06"/>
    <w:multiLevelType w:val="hybridMultilevel"/>
    <w:tmpl w:val="60481A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704841F9"/>
    <w:multiLevelType w:val="hybridMultilevel"/>
    <w:tmpl w:val="3F9A5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58A7BB9"/>
    <w:multiLevelType w:val="hybridMultilevel"/>
    <w:tmpl w:val="691CC364"/>
    <w:lvl w:ilvl="0" w:tplc="639606BC">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7234843"/>
    <w:multiLevelType w:val="multilevel"/>
    <w:tmpl w:val="DA44E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F7F7F18"/>
    <w:multiLevelType w:val="hybridMultilevel"/>
    <w:tmpl w:val="41D4E442"/>
    <w:lvl w:ilvl="0" w:tplc="75082596">
      <w:start w:val="1"/>
      <w:numFmt w:val="bullet"/>
      <w:lvlText w:val=""/>
      <w:lvlJc w:val="left"/>
      <w:pPr>
        <w:ind w:left="720" w:hanging="360"/>
      </w:pPr>
      <w:rPr>
        <w:rFonts w:ascii="Symbol" w:hAnsi="Symbol" w:hint="default"/>
        <w:color w:val="DAA6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630751201">
    <w:abstractNumId w:val="3"/>
  </w:num>
  <w:num w:numId="2" w16cid:durableId="1565750052">
    <w:abstractNumId w:val="28"/>
  </w:num>
  <w:num w:numId="3" w16cid:durableId="1815903907">
    <w:abstractNumId w:val="29"/>
  </w:num>
  <w:num w:numId="4" w16cid:durableId="1561406862">
    <w:abstractNumId w:val="33"/>
  </w:num>
  <w:num w:numId="5" w16cid:durableId="321006177">
    <w:abstractNumId w:val="25"/>
  </w:num>
  <w:num w:numId="6" w16cid:durableId="503938402">
    <w:abstractNumId w:val="22"/>
  </w:num>
  <w:num w:numId="7" w16cid:durableId="1758016345">
    <w:abstractNumId w:val="20"/>
  </w:num>
  <w:num w:numId="8" w16cid:durableId="2074308771">
    <w:abstractNumId w:val="9"/>
  </w:num>
  <w:num w:numId="9" w16cid:durableId="263540259">
    <w:abstractNumId w:val="23"/>
  </w:num>
  <w:num w:numId="10" w16cid:durableId="1759860241">
    <w:abstractNumId w:val="7"/>
  </w:num>
  <w:num w:numId="11" w16cid:durableId="813330766">
    <w:abstractNumId w:val="26"/>
  </w:num>
  <w:num w:numId="12" w16cid:durableId="1478958565">
    <w:abstractNumId w:val="15"/>
  </w:num>
  <w:num w:numId="13" w16cid:durableId="574709329">
    <w:abstractNumId w:val="31"/>
  </w:num>
  <w:num w:numId="14" w16cid:durableId="29310045">
    <w:abstractNumId w:val="4"/>
  </w:num>
  <w:num w:numId="15" w16cid:durableId="1947807562">
    <w:abstractNumId w:val="2"/>
  </w:num>
  <w:num w:numId="16" w16cid:durableId="2101025905">
    <w:abstractNumId w:val="27"/>
  </w:num>
  <w:num w:numId="17" w16cid:durableId="394011149">
    <w:abstractNumId w:val="30"/>
  </w:num>
  <w:num w:numId="18" w16cid:durableId="1758165198">
    <w:abstractNumId w:val="5"/>
  </w:num>
  <w:num w:numId="19" w16cid:durableId="836648520">
    <w:abstractNumId w:val="11"/>
  </w:num>
  <w:num w:numId="20" w16cid:durableId="120078200">
    <w:abstractNumId w:val="19"/>
  </w:num>
  <w:num w:numId="21" w16cid:durableId="562251221">
    <w:abstractNumId w:val="6"/>
  </w:num>
  <w:num w:numId="22" w16cid:durableId="1653556973">
    <w:abstractNumId w:val="8"/>
  </w:num>
  <w:num w:numId="23" w16cid:durableId="303893639">
    <w:abstractNumId w:val="16"/>
  </w:num>
  <w:num w:numId="24" w16cid:durableId="1997344683">
    <w:abstractNumId w:val="21"/>
  </w:num>
  <w:num w:numId="25" w16cid:durableId="1493328608">
    <w:abstractNumId w:val="0"/>
  </w:num>
  <w:num w:numId="26" w16cid:durableId="1410615241">
    <w:abstractNumId w:val="13"/>
  </w:num>
  <w:num w:numId="27" w16cid:durableId="564411746">
    <w:abstractNumId w:val="24"/>
  </w:num>
  <w:num w:numId="28" w16cid:durableId="617685256">
    <w:abstractNumId w:val="10"/>
  </w:num>
  <w:num w:numId="29" w16cid:durableId="59912274">
    <w:abstractNumId w:val="1"/>
  </w:num>
  <w:num w:numId="30" w16cid:durableId="2030720313">
    <w:abstractNumId w:val="14"/>
  </w:num>
  <w:num w:numId="31" w16cid:durableId="211234332">
    <w:abstractNumId w:val="32"/>
  </w:num>
  <w:num w:numId="32" w16cid:durableId="1479104076">
    <w:abstractNumId w:val="12"/>
  </w:num>
  <w:num w:numId="33" w16cid:durableId="689573506">
    <w:abstractNumId w:val="18"/>
  </w:num>
  <w:num w:numId="34" w16cid:durableId="96215045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1296"/>
  <w:hyphenationZone w:val="396"/>
  <w:drawingGridHorizontalSpacing w:val="110"/>
  <w:displayHorizontalDrawingGridEvery w:val="2"/>
  <w:displayVerticalDrawingGridEvery w:val="2"/>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BC6"/>
    <w:rsid w:val="0000119F"/>
    <w:rsid w:val="00001CEF"/>
    <w:rsid w:val="00003B21"/>
    <w:rsid w:val="000102C2"/>
    <w:rsid w:val="00010448"/>
    <w:rsid w:val="000108A2"/>
    <w:rsid w:val="000114F9"/>
    <w:rsid w:val="00011977"/>
    <w:rsid w:val="00013672"/>
    <w:rsid w:val="0001721B"/>
    <w:rsid w:val="0002086F"/>
    <w:rsid w:val="000217A6"/>
    <w:rsid w:val="000220B2"/>
    <w:rsid w:val="000221C9"/>
    <w:rsid w:val="00024A94"/>
    <w:rsid w:val="00024AAD"/>
    <w:rsid w:val="00026800"/>
    <w:rsid w:val="00026C07"/>
    <w:rsid w:val="00026DDA"/>
    <w:rsid w:val="00031586"/>
    <w:rsid w:val="00031848"/>
    <w:rsid w:val="00031AB6"/>
    <w:rsid w:val="000337FF"/>
    <w:rsid w:val="00034DE4"/>
    <w:rsid w:val="00035DFA"/>
    <w:rsid w:val="000402B6"/>
    <w:rsid w:val="00041FD0"/>
    <w:rsid w:val="0004556B"/>
    <w:rsid w:val="00045CD6"/>
    <w:rsid w:val="000465CD"/>
    <w:rsid w:val="00046EBB"/>
    <w:rsid w:val="00050130"/>
    <w:rsid w:val="0005143F"/>
    <w:rsid w:val="00052F47"/>
    <w:rsid w:val="00053E05"/>
    <w:rsid w:val="0005705C"/>
    <w:rsid w:val="00057388"/>
    <w:rsid w:val="00057C81"/>
    <w:rsid w:val="0006162D"/>
    <w:rsid w:val="00065A74"/>
    <w:rsid w:val="00066E9C"/>
    <w:rsid w:val="0007019C"/>
    <w:rsid w:val="00071C5C"/>
    <w:rsid w:val="00075B5D"/>
    <w:rsid w:val="0007783D"/>
    <w:rsid w:val="00077B19"/>
    <w:rsid w:val="00077E4B"/>
    <w:rsid w:val="00080238"/>
    <w:rsid w:val="00082253"/>
    <w:rsid w:val="00086589"/>
    <w:rsid w:val="0008718D"/>
    <w:rsid w:val="00087E40"/>
    <w:rsid w:val="0009095D"/>
    <w:rsid w:val="00091988"/>
    <w:rsid w:val="00093117"/>
    <w:rsid w:val="00095090"/>
    <w:rsid w:val="00095A7F"/>
    <w:rsid w:val="0009618E"/>
    <w:rsid w:val="00097BCF"/>
    <w:rsid w:val="000A348C"/>
    <w:rsid w:val="000A3BCC"/>
    <w:rsid w:val="000B13E8"/>
    <w:rsid w:val="000B415E"/>
    <w:rsid w:val="000B51C4"/>
    <w:rsid w:val="000B6652"/>
    <w:rsid w:val="000C02B1"/>
    <w:rsid w:val="000C2D23"/>
    <w:rsid w:val="000C466A"/>
    <w:rsid w:val="000C7799"/>
    <w:rsid w:val="000D3793"/>
    <w:rsid w:val="000D52B0"/>
    <w:rsid w:val="000D5408"/>
    <w:rsid w:val="000D6181"/>
    <w:rsid w:val="000D7996"/>
    <w:rsid w:val="000D7F75"/>
    <w:rsid w:val="000E0278"/>
    <w:rsid w:val="000E2549"/>
    <w:rsid w:val="000E412F"/>
    <w:rsid w:val="000E5716"/>
    <w:rsid w:val="000E76EF"/>
    <w:rsid w:val="000F0AE3"/>
    <w:rsid w:val="000F2EF8"/>
    <w:rsid w:val="000F316C"/>
    <w:rsid w:val="000F349B"/>
    <w:rsid w:val="000F3861"/>
    <w:rsid w:val="000F67CF"/>
    <w:rsid w:val="000F6D77"/>
    <w:rsid w:val="0010074C"/>
    <w:rsid w:val="00100E5F"/>
    <w:rsid w:val="001019A3"/>
    <w:rsid w:val="0010443F"/>
    <w:rsid w:val="00110172"/>
    <w:rsid w:val="00110A4F"/>
    <w:rsid w:val="00113E0A"/>
    <w:rsid w:val="0011478A"/>
    <w:rsid w:val="001157AE"/>
    <w:rsid w:val="00116893"/>
    <w:rsid w:val="001168FC"/>
    <w:rsid w:val="00120A16"/>
    <w:rsid w:val="0012235E"/>
    <w:rsid w:val="00123A5A"/>
    <w:rsid w:val="00124643"/>
    <w:rsid w:val="00127DAE"/>
    <w:rsid w:val="001301F8"/>
    <w:rsid w:val="00131EEE"/>
    <w:rsid w:val="001352A6"/>
    <w:rsid w:val="00135A25"/>
    <w:rsid w:val="00143194"/>
    <w:rsid w:val="001448B0"/>
    <w:rsid w:val="00144B4C"/>
    <w:rsid w:val="001461B5"/>
    <w:rsid w:val="0014782B"/>
    <w:rsid w:val="0014782E"/>
    <w:rsid w:val="00150643"/>
    <w:rsid w:val="00153AAE"/>
    <w:rsid w:val="00154127"/>
    <w:rsid w:val="00155BAD"/>
    <w:rsid w:val="001562E0"/>
    <w:rsid w:val="00156834"/>
    <w:rsid w:val="00157C43"/>
    <w:rsid w:val="0016042B"/>
    <w:rsid w:val="00162248"/>
    <w:rsid w:val="001625E1"/>
    <w:rsid w:val="00166160"/>
    <w:rsid w:val="0016653B"/>
    <w:rsid w:val="001669D3"/>
    <w:rsid w:val="00167031"/>
    <w:rsid w:val="00170EDF"/>
    <w:rsid w:val="001763B9"/>
    <w:rsid w:val="0017754C"/>
    <w:rsid w:val="00177C8A"/>
    <w:rsid w:val="001808C3"/>
    <w:rsid w:val="00183163"/>
    <w:rsid w:val="001842DA"/>
    <w:rsid w:val="001923F6"/>
    <w:rsid w:val="0019298F"/>
    <w:rsid w:val="00194A2D"/>
    <w:rsid w:val="001958A7"/>
    <w:rsid w:val="00195958"/>
    <w:rsid w:val="001A10C9"/>
    <w:rsid w:val="001A17DD"/>
    <w:rsid w:val="001A4310"/>
    <w:rsid w:val="001A559F"/>
    <w:rsid w:val="001A607B"/>
    <w:rsid w:val="001A7C57"/>
    <w:rsid w:val="001B4202"/>
    <w:rsid w:val="001B4689"/>
    <w:rsid w:val="001B7400"/>
    <w:rsid w:val="001B7B47"/>
    <w:rsid w:val="001C08A4"/>
    <w:rsid w:val="001C38BA"/>
    <w:rsid w:val="001C5DAE"/>
    <w:rsid w:val="001C6006"/>
    <w:rsid w:val="001D0703"/>
    <w:rsid w:val="001D2FE9"/>
    <w:rsid w:val="001D4D1A"/>
    <w:rsid w:val="001E2509"/>
    <w:rsid w:val="001E3644"/>
    <w:rsid w:val="001E51A0"/>
    <w:rsid w:val="001E5AD7"/>
    <w:rsid w:val="001E720E"/>
    <w:rsid w:val="001E7680"/>
    <w:rsid w:val="001F08A7"/>
    <w:rsid w:val="001F14EC"/>
    <w:rsid w:val="001F695C"/>
    <w:rsid w:val="001F7CF5"/>
    <w:rsid w:val="00201EAB"/>
    <w:rsid w:val="00204913"/>
    <w:rsid w:val="002054A3"/>
    <w:rsid w:val="00205E76"/>
    <w:rsid w:val="0021114B"/>
    <w:rsid w:val="002120DB"/>
    <w:rsid w:val="00213309"/>
    <w:rsid w:val="0021336A"/>
    <w:rsid w:val="00214349"/>
    <w:rsid w:val="002155CF"/>
    <w:rsid w:val="00220C72"/>
    <w:rsid w:val="00220DA2"/>
    <w:rsid w:val="00221860"/>
    <w:rsid w:val="00225476"/>
    <w:rsid w:val="00225DC1"/>
    <w:rsid w:val="00226FE4"/>
    <w:rsid w:val="002274EA"/>
    <w:rsid w:val="00237177"/>
    <w:rsid w:val="0023765A"/>
    <w:rsid w:val="00237FA4"/>
    <w:rsid w:val="00241C37"/>
    <w:rsid w:val="00243606"/>
    <w:rsid w:val="002461FF"/>
    <w:rsid w:val="00246B12"/>
    <w:rsid w:val="00247FB5"/>
    <w:rsid w:val="00251240"/>
    <w:rsid w:val="00254D36"/>
    <w:rsid w:val="002550D7"/>
    <w:rsid w:val="002606AC"/>
    <w:rsid w:val="0026093C"/>
    <w:rsid w:val="00260A01"/>
    <w:rsid w:val="0026120A"/>
    <w:rsid w:val="002651DB"/>
    <w:rsid w:val="00265B81"/>
    <w:rsid w:val="00270E92"/>
    <w:rsid w:val="002717F0"/>
    <w:rsid w:val="002745DA"/>
    <w:rsid w:val="002767B8"/>
    <w:rsid w:val="0027680F"/>
    <w:rsid w:val="0028070B"/>
    <w:rsid w:val="00281077"/>
    <w:rsid w:val="00282D53"/>
    <w:rsid w:val="002836DD"/>
    <w:rsid w:val="00287BF9"/>
    <w:rsid w:val="00290AE9"/>
    <w:rsid w:val="00291878"/>
    <w:rsid w:val="002928DA"/>
    <w:rsid w:val="00296465"/>
    <w:rsid w:val="002A210A"/>
    <w:rsid w:val="002A71A6"/>
    <w:rsid w:val="002A78C2"/>
    <w:rsid w:val="002B0A7D"/>
    <w:rsid w:val="002B1F95"/>
    <w:rsid w:val="002B2462"/>
    <w:rsid w:val="002B447A"/>
    <w:rsid w:val="002B59D3"/>
    <w:rsid w:val="002B74FA"/>
    <w:rsid w:val="002C0A0D"/>
    <w:rsid w:val="002C3517"/>
    <w:rsid w:val="002C4127"/>
    <w:rsid w:val="002C51AF"/>
    <w:rsid w:val="002C7B21"/>
    <w:rsid w:val="002D10D4"/>
    <w:rsid w:val="002D6044"/>
    <w:rsid w:val="002D6660"/>
    <w:rsid w:val="002E1ED9"/>
    <w:rsid w:val="002E41F0"/>
    <w:rsid w:val="002F0675"/>
    <w:rsid w:val="002F23F4"/>
    <w:rsid w:val="002F6589"/>
    <w:rsid w:val="00303A18"/>
    <w:rsid w:val="00303B6E"/>
    <w:rsid w:val="00303E68"/>
    <w:rsid w:val="0030601D"/>
    <w:rsid w:val="00313D0E"/>
    <w:rsid w:val="00314491"/>
    <w:rsid w:val="0031495A"/>
    <w:rsid w:val="00315026"/>
    <w:rsid w:val="003151C1"/>
    <w:rsid w:val="00320F82"/>
    <w:rsid w:val="00321266"/>
    <w:rsid w:val="00322FC8"/>
    <w:rsid w:val="00323B6B"/>
    <w:rsid w:val="00324AC6"/>
    <w:rsid w:val="00325B7C"/>
    <w:rsid w:val="00325BD6"/>
    <w:rsid w:val="00327A63"/>
    <w:rsid w:val="00330521"/>
    <w:rsid w:val="0033251B"/>
    <w:rsid w:val="00333F2B"/>
    <w:rsid w:val="00334E5B"/>
    <w:rsid w:val="00335334"/>
    <w:rsid w:val="0033705A"/>
    <w:rsid w:val="00341522"/>
    <w:rsid w:val="00342741"/>
    <w:rsid w:val="0034505C"/>
    <w:rsid w:val="00351DD8"/>
    <w:rsid w:val="003528EE"/>
    <w:rsid w:val="00352A8C"/>
    <w:rsid w:val="00355FF4"/>
    <w:rsid w:val="0036426E"/>
    <w:rsid w:val="003675E8"/>
    <w:rsid w:val="0036787E"/>
    <w:rsid w:val="003679FC"/>
    <w:rsid w:val="00367DE5"/>
    <w:rsid w:val="00367F05"/>
    <w:rsid w:val="00372866"/>
    <w:rsid w:val="00372AA1"/>
    <w:rsid w:val="003737ED"/>
    <w:rsid w:val="0037405F"/>
    <w:rsid w:val="0037583C"/>
    <w:rsid w:val="00375A6A"/>
    <w:rsid w:val="00381E63"/>
    <w:rsid w:val="003825A7"/>
    <w:rsid w:val="00384377"/>
    <w:rsid w:val="003860BB"/>
    <w:rsid w:val="00386C56"/>
    <w:rsid w:val="00387396"/>
    <w:rsid w:val="00394693"/>
    <w:rsid w:val="00394BC2"/>
    <w:rsid w:val="003A02F8"/>
    <w:rsid w:val="003A0367"/>
    <w:rsid w:val="003A41B5"/>
    <w:rsid w:val="003A560E"/>
    <w:rsid w:val="003A6246"/>
    <w:rsid w:val="003A73F9"/>
    <w:rsid w:val="003B0ADE"/>
    <w:rsid w:val="003B0F71"/>
    <w:rsid w:val="003B3E96"/>
    <w:rsid w:val="003B625B"/>
    <w:rsid w:val="003C013C"/>
    <w:rsid w:val="003C3D91"/>
    <w:rsid w:val="003C4B93"/>
    <w:rsid w:val="003C7566"/>
    <w:rsid w:val="003C7CFB"/>
    <w:rsid w:val="003D0D73"/>
    <w:rsid w:val="003D75DF"/>
    <w:rsid w:val="003E04C6"/>
    <w:rsid w:val="003E0E69"/>
    <w:rsid w:val="003E4F45"/>
    <w:rsid w:val="003E5444"/>
    <w:rsid w:val="003F3DC5"/>
    <w:rsid w:val="003F49B2"/>
    <w:rsid w:val="003F5681"/>
    <w:rsid w:val="003F74BD"/>
    <w:rsid w:val="0040467E"/>
    <w:rsid w:val="00404A94"/>
    <w:rsid w:val="00406519"/>
    <w:rsid w:val="00406A4D"/>
    <w:rsid w:val="0041043B"/>
    <w:rsid w:val="004137F3"/>
    <w:rsid w:val="00414B1E"/>
    <w:rsid w:val="0041524B"/>
    <w:rsid w:val="004167A6"/>
    <w:rsid w:val="00416F7E"/>
    <w:rsid w:val="00417E64"/>
    <w:rsid w:val="00420F4B"/>
    <w:rsid w:val="00421F7F"/>
    <w:rsid w:val="00422232"/>
    <w:rsid w:val="00422C21"/>
    <w:rsid w:val="00425D31"/>
    <w:rsid w:val="00427125"/>
    <w:rsid w:val="004303ED"/>
    <w:rsid w:val="00432D54"/>
    <w:rsid w:val="0043393D"/>
    <w:rsid w:val="00434A91"/>
    <w:rsid w:val="004361FB"/>
    <w:rsid w:val="00436EAA"/>
    <w:rsid w:val="0044207B"/>
    <w:rsid w:val="00442D9B"/>
    <w:rsid w:val="00446BAD"/>
    <w:rsid w:val="004521F4"/>
    <w:rsid w:val="0045364E"/>
    <w:rsid w:val="00456048"/>
    <w:rsid w:val="004561FB"/>
    <w:rsid w:val="00456AEB"/>
    <w:rsid w:val="00456B11"/>
    <w:rsid w:val="00457F27"/>
    <w:rsid w:val="00460A41"/>
    <w:rsid w:val="00462396"/>
    <w:rsid w:val="0046628B"/>
    <w:rsid w:val="00466451"/>
    <w:rsid w:val="00470D62"/>
    <w:rsid w:val="00470EBC"/>
    <w:rsid w:val="0048158E"/>
    <w:rsid w:val="00481E6F"/>
    <w:rsid w:val="00483C59"/>
    <w:rsid w:val="00483C7E"/>
    <w:rsid w:val="00484D06"/>
    <w:rsid w:val="00485130"/>
    <w:rsid w:val="00485D5F"/>
    <w:rsid w:val="00485FD9"/>
    <w:rsid w:val="004903D9"/>
    <w:rsid w:val="004926A3"/>
    <w:rsid w:val="00492E5F"/>
    <w:rsid w:val="00493D6F"/>
    <w:rsid w:val="004945C5"/>
    <w:rsid w:val="0049757B"/>
    <w:rsid w:val="00497789"/>
    <w:rsid w:val="004A0601"/>
    <w:rsid w:val="004A0657"/>
    <w:rsid w:val="004A1BC6"/>
    <w:rsid w:val="004A1FE0"/>
    <w:rsid w:val="004A2E5C"/>
    <w:rsid w:val="004B0357"/>
    <w:rsid w:val="004B1657"/>
    <w:rsid w:val="004B2E9F"/>
    <w:rsid w:val="004B3050"/>
    <w:rsid w:val="004B330C"/>
    <w:rsid w:val="004B5144"/>
    <w:rsid w:val="004B79FC"/>
    <w:rsid w:val="004C1C98"/>
    <w:rsid w:val="004C50BE"/>
    <w:rsid w:val="004C6BD1"/>
    <w:rsid w:val="004D12DC"/>
    <w:rsid w:val="004D26A1"/>
    <w:rsid w:val="004D53FF"/>
    <w:rsid w:val="004D6814"/>
    <w:rsid w:val="004E33F6"/>
    <w:rsid w:val="004E41B8"/>
    <w:rsid w:val="004E6BC5"/>
    <w:rsid w:val="004E79F4"/>
    <w:rsid w:val="004F0336"/>
    <w:rsid w:val="004F42AE"/>
    <w:rsid w:val="004F686D"/>
    <w:rsid w:val="00501514"/>
    <w:rsid w:val="00501572"/>
    <w:rsid w:val="00504427"/>
    <w:rsid w:val="00505F74"/>
    <w:rsid w:val="005060EE"/>
    <w:rsid w:val="00506E6C"/>
    <w:rsid w:val="00507972"/>
    <w:rsid w:val="00510ED1"/>
    <w:rsid w:val="005132FC"/>
    <w:rsid w:val="00513301"/>
    <w:rsid w:val="00517DBB"/>
    <w:rsid w:val="00520004"/>
    <w:rsid w:val="005206CE"/>
    <w:rsid w:val="00520B0F"/>
    <w:rsid w:val="00520D5A"/>
    <w:rsid w:val="0052199B"/>
    <w:rsid w:val="00521CCA"/>
    <w:rsid w:val="00523406"/>
    <w:rsid w:val="00523E56"/>
    <w:rsid w:val="00527DB0"/>
    <w:rsid w:val="00530367"/>
    <w:rsid w:val="00530D5D"/>
    <w:rsid w:val="00532C4E"/>
    <w:rsid w:val="00537458"/>
    <w:rsid w:val="00540FF7"/>
    <w:rsid w:val="00543DC7"/>
    <w:rsid w:val="005443C4"/>
    <w:rsid w:val="005445AD"/>
    <w:rsid w:val="00544BDC"/>
    <w:rsid w:val="00546A8A"/>
    <w:rsid w:val="005513CF"/>
    <w:rsid w:val="00552CB2"/>
    <w:rsid w:val="00555F6D"/>
    <w:rsid w:val="0056026A"/>
    <w:rsid w:val="00563C5B"/>
    <w:rsid w:val="00565AFB"/>
    <w:rsid w:val="00565E38"/>
    <w:rsid w:val="00566805"/>
    <w:rsid w:val="00571125"/>
    <w:rsid w:val="00573510"/>
    <w:rsid w:val="00573FC7"/>
    <w:rsid w:val="005779FB"/>
    <w:rsid w:val="005813BF"/>
    <w:rsid w:val="005821A3"/>
    <w:rsid w:val="005923D2"/>
    <w:rsid w:val="0059761B"/>
    <w:rsid w:val="005A06F2"/>
    <w:rsid w:val="005B3FF7"/>
    <w:rsid w:val="005B4250"/>
    <w:rsid w:val="005B4ECA"/>
    <w:rsid w:val="005B581E"/>
    <w:rsid w:val="005B6A52"/>
    <w:rsid w:val="005C4B50"/>
    <w:rsid w:val="005C5D60"/>
    <w:rsid w:val="005C5F9A"/>
    <w:rsid w:val="005D1A0C"/>
    <w:rsid w:val="005D217D"/>
    <w:rsid w:val="005D31BF"/>
    <w:rsid w:val="005D3309"/>
    <w:rsid w:val="005E0572"/>
    <w:rsid w:val="005E2169"/>
    <w:rsid w:val="005E2C18"/>
    <w:rsid w:val="005E735C"/>
    <w:rsid w:val="005E7887"/>
    <w:rsid w:val="005F0B05"/>
    <w:rsid w:val="005F181F"/>
    <w:rsid w:val="005F1E13"/>
    <w:rsid w:val="005F261A"/>
    <w:rsid w:val="005F2BD8"/>
    <w:rsid w:val="0060051A"/>
    <w:rsid w:val="006036D2"/>
    <w:rsid w:val="006037F6"/>
    <w:rsid w:val="00603985"/>
    <w:rsid w:val="0060455F"/>
    <w:rsid w:val="006070B0"/>
    <w:rsid w:val="00610256"/>
    <w:rsid w:val="00610A79"/>
    <w:rsid w:val="00611DCA"/>
    <w:rsid w:val="00615BB4"/>
    <w:rsid w:val="00621B4D"/>
    <w:rsid w:val="00621CDF"/>
    <w:rsid w:val="00622C70"/>
    <w:rsid w:val="00623E92"/>
    <w:rsid w:val="00627DBA"/>
    <w:rsid w:val="00630575"/>
    <w:rsid w:val="00633082"/>
    <w:rsid w:val="006358DB"/>
    <w:rsid w:val="006513A2"/>
    <w:rsid w:val="0065284C"/>
    <w:rsid w:val="00654878"/>
    <w:rsid w:val="00654BB0"/>
    <w:rsid w:val="00657BF0"/>
    <w:rsid w:val="0066182B"/>
    <w:rsid w:val="0066324B"/>
    <w:rsid w:val="006732C3"/>
    <w:rsid w:val="006735D4"/>
    <w:rsid w:val="00674A31"/>
    <w:rsid w:val="00680B49"/>
    <w:rsid w:val="00683A11"/>
    <w:rsid w:val="00685BDA"/>
    <w:rsid w:val="00691A54"/>
    <w:rsid w:val="00692802"/>
    <w:rsid w:val="00693835"/>
    <w:rsid w:val="00693E03"/>
    <w:rsid w:val="00694533"/>
    <w:rsid w:val="00694DFF"/>
    <w:rsid w:val="00696470"/>
    <w:rsid w:val="00697869"/>
    <w:rsid w:val="006A30CA"/>
    <w:rsid w:val="006A4568"/>
    <w:rsid w:val="006B1830"/>
    <w:rsid w:val="006B338F"/>
    <w:rsid w:val="006B3831"/>
    <w:rsid w:val="006B5CDC"/>
    <w:rsid w:val="006C19D2"/>
    <w:rsid w:val="006C4175"/>
    <w:rsid w:val="006C455A"/>
    <w:rsid w:val="006C4633"/>
    <w:rsid w:val="006C49A5"/>
    <w:rsid w:val="006C6325"/>
    <w:rsid w:val="006C74FA"/>
    <w:rsid w:val="006D0EC6"/>
    <w:rsid w:val="006D39D0"/>
    <w:rsid w:val="006D4B4C"/>
    <w:rsid w:val="006D6C9D"/>
    <w:rsid w:val="006D7A68"/>
    <w:rsid w:val="006D7E50"/>
    <w:rsid w:val="006E0599"/>
    <w:rsid w:val="006E230C"/>
    <w:rsid w:val="006E26E4"/>
    <w:rsid w:val="006E35E2"/>
    <w:rsid w:val="006E39DC"/>
    <w:rsid w:val="006E58B8"/>
    <w:rsid w:val="006F09BA"/>
    <w:rsid w:val="006F3C1A"/>
    <w:rsid w:val="006F4687"/>
    <w:rsid w:val="006F5DBE"/>
    <w:rsid w:val="006F69CB"/>
    <w:rsid w:val="006F79C3"/>
    <w:rsid w:val="006F7F14"/>
    <w:rsid w:val="00702B38"/>
    <w:rsid w:val="00702BF0"/>
    <w:rsid w:val="00704AB3"/>
    <w:rsid w:val="007056A7"/>
    <w:rsid w:val="00707BC9"/>
    <w:rsid w:val="00712CF8"/>
    <w:rsid w:val="0071363A"/>
    <w:rsid w:val="00713F37"/>
    <w:rsid w:val="007266ED"/>
    <w:rsid w:val="007279F8"/>
    <w:rsid w:val="007303AB"/>
    <w:rsid w:val="007315DB"/>
    <w:rsid w:val="00735474"/>
    <w:rsid w:val="00735C8A"/>
    <w:rsid w:val="00737CF7"/>
    <w:rsid w:val="007401BE"/>
    <w:rsid w:val="00741F1E"/>
    <w:rsid w:val="00743F00"/>
    <w:rsid w:val="007509C5"/>
    <w:rsid w:val="00753D8D"/>
    <w:rsid w:val="00753FA3"/>
    <w:rsid w:val="00755BB6"/>
    <w:rsid w:val="00756C8C"/>
    <w:rsid w:val="00757D4C"/>
    <w:rsid w:val="00757E50"/>
    <w:rsid w:val="00760250"/>
    <w:rsid w:val="00763DD7"/>
    <w:rsid w:val="0076656D"/>
    <w:rsid w:val="00770ED4"/>
    <w:rsid w:val="007829A4"/>
    <w:rsid w:val="00785F60"/>
    <w:rsid w:val="00787089"/>
    <w:rsid w:val="00791659"/>
    <w:rsid w:val="00794B88"/>
    <w:rsid w:val="00795591"/>
    <w:rsid w:val="007966AF"/>
    <w:rsid w:val="007A2CE0"/>
    <w:rsid w:val="007A4745"/>
    <w:rsid w:val="007A495C"/>
    <w:rsid w:val="007B13A2"/>
    <w:rsid w:val="007B1BB2"/>
    <w:rsid w:val="007B256D"/>
    <w:rsid w:val="007B27AC"/>
    <w:rsid w:val="007B2BD1"/>
    <w:rsid w:val="007C0CD4"/>
    <w:rsid w:val="007C13ED"/>
    <w:rsid w:val="007C2D11"/>
    <w:rsid w:val="007C3050"/>
    <w:rsid w:val="007C645E"/>
    <w:rsid w:val="007C6ADC"/>
    <w:rsid w:val="007D2622"/>
    <w:rsid w:val="007D3BBF"/>
    <w:rsid w:val="007D49DA"/>
    <w:rsid w:val="007D4FB7"/>
    <w:rsid w:val="007D51A4"/>
    <w:rsid w:val="007D794E"/>
    <w:rsid w:val="007E2DB6"/>
    <w:rsid w:val="007E5EDA"/>
    <w:rsid w:val="007E7C89"/>
    <w:rsid w:val="007F27B4"/>
    <w:rsid w:val="007F2EA4"/>
    <w:rsid w:val="007F44B6"/>
    <w:rsid w:val="007F6E77"/>
    <w:rsid w:val="008001C5"/>
    <w:rsid w:val="00801573"/>
    <w:rsid w:val="00801973"/>
    <w:rsid w:val="0080252A"/>
    <w:rsid w:val="008051CA"/>
    <w:rsid w:val="00806C2E"/>
    <w:rsid w:val="00807144"/>
    <w:rsid w:val="0081024D"/>
    <w:rsid w:val="00816523"/>
    <w:rsid w:val="00817506"/>
    <w:rsid w:val="008204CA"/>
    <w:rsid w:val="008215FC"/>
    <w:rsid w:val="0082210E"/>
    <w:rsid w:val="0082291D"/>
    <w:rsid w:val="00825F9F"/>
    <w:rsid w:val="00831F03"/>
    <w:rsid w:val="0083613D"/>
    <w:rsid w:val="00836A3B"/>
    <w:rsid w:val="00837766"/>
    <w:rsid w:val="008433E0"/>
    <w:rsid w:val="00850D6A"/>
    <w:rsid w:val="00852A5A"/>
    <w:rsid w:val="0085695D"/>
    <w:rsid w:val="0086223C"/>
    <w:rsid w:val="00863131"/>
    <w:rsid w:val="0086360F"/>
    <w:rsid w:val="008658A9"/>
    <w:rsid w:val="00865CD1"/>
    <w:rsid w:val="008676BC"/>
    <w:rsid w:val="00870212"/>
    <w:rsid w:val="008717F9"/>
    <w:rsid w:val="00877043"/>
    <w:rsid w:val="00884BEA"/>
    <w:rsid w:val="00884E16"/>
    <w:rsid w:val="00884F8D"/>
    <w:rsid w:val="0088682D"/>
    <w:rsid w:val="00887A29"/>
    <w:rsid w:val="008907BC"/>
    <w:rsid w:val="0089359F"/>
    <w:rsid w:val="00893B1D"/>
    <w:rsid w:val="00894140"/>
    <w:rsid w:val="00895458"/>
    <w:rsid w:val="00897D47"/>
    <w:rsid w:val="008A0FF8"/>
    <w:rsid w:val="008A492F"/>
    <w:rsid w:val="008A5604"/>
    <w:rsid w:val="008A5AA2"/>
    <w:rsid w:val="008A6983"/>
    <w:rsid w:val="008A7B09"/>
    <w:rsid w:val="008B203A"/>
    <w:rsid w:val="008B250C"/>
    <w:rsid w:val="008B2625"/>
    <w:rsid w:val="008B3A9B"/>
    <w:rsid w:val="008B4941"/>
    <w:rsid w:val="008B5D7E"/>
    <w:rsid w:val="008B763F"/>
    <w:rsid w:val="008C3BF9"/>
    <w:rsid w:val="008C46B5"/>
    <w:rsid w:val="008C5160"/>
    <w:rsid w:val="008C7171"/>
    <w:rsid w:val="008D2069"/>
    <w:rsid w:val="008D49ED"/>
    <w:rsid w:val="008D4EB2"/>
    <w:rsid w:val="008E0EC4"/>
    <w:rsid w:val="008E69FB"/>
    <w:rsid w:val="008F0257"/>
    <w:rsid w:val="008F1B1C"/>
    <w:rsid w:val="008F33A5"/>
    <w:rsid w:val="008F65D9"/>
    <w:rsid w:val="008F6A2C"/>
    <w:rsid w:val="008F70FA"/>
    <w:rsid w:val="009005B7"/>
    <w:rsid w:val="009020C5"/>
    <w:rsid w:val="00903BE2"/>
    <w:rsid w:val="00910EA0"/>
    <w:rsid w:val="009142FD"/>
    <w:rsid w:val="00917209"/>
    <w:rsid w:val="009177FF"/>
    <w:rsid w:val="0092196D"/>
    <w:rsid w:val="00921E3D"/>
    <w:rsid w:val="00925201"/>
    <w:rsid w:val="009275F7"/>
    <w:rsid w:val="009302E7"/>
    <w:rsid w:val="00931956"/>
    <w:rsid w:val="009341B5"/>
    <w:rsid w:val="00937C07"/>
    <w:rsid w:val="00937F1E"/>
    <w:rsid w:val="00944925"/>
    <w:rsid w:val="00946F98"/>
    <w:rsid w:val="00952724"/>
    <w:rsid w:val="009547AA"/>
    <w:rsid w:val="00955DC8"/>
    <w:rsid w:val="0095647C"/>
    <w:rsid w:val="00957439"/>
    <w:rsid w:val="00960106"/>
    <w:rsid w:val="00960FDF"/>
    <w:rsid w:val="00962B1C"/>
    <w:rsid w:val="009650CC"/>
    <w:rsid w:val="00970829"/>
    <w:rsid w:val="009724D2"/>
    <w:rsid w:val="00972AB9"/>
    <w:rsid w:val="00974732"/>
    <w:rsid w:val="009771C2"/>
    <w:rsid w:val="009779CF"/>
    <w:rsid w:val="00980027"/>
    <w:rsid w:val="009806F0"/>
    <w:rsid w:val="009817F4"/>
    <w:rsid w:val="00982416"/>
    <w:rsid w:val="009825AC"/>
    <w:rsid w:val="0098308A"/>
    <w:rsid w:val="00985735"/>
    <w:rsid w:val="0098620D"/>
    <w:rsid w:val="009A16F5"/>
    <w:rsid w:val="009A232C"/>
    <w:rsid w:val="009A2922"/>
    <w:rsid w:val="009A7CB3"/>
    <w:rsid w:val="009B0042"/>
    <w:rsid w:val="009B2D5C"/>
    <w:rsid w:val="009B3D5C"/>
    <w:rsid w:val="009C3EEC"/>
    <w:rsid w:val="009C691B"/>
    <w:rsid w:val="009C77B5"/>
    <w:rsid w:val="009D0730"/>
    <w:rsid w:val="009D1895"/>
    <w:rsid w:val="009D207E"/>
    <w:rsid w:val="009D3716"/>
    <w:rsid w:val="009D7ECD"/>
    <w:rsid w:val="009E0761"/>
    <w:rsid w:val="009E142C"/>
    <w:rsid w:val="009E22CD"/>
    <w:rsid w:val="009E2C26"/>
    <w:rsid w:val="009E4FFA"/>
    <w:rsid w:val="009E5019"/>
    <w:rsid w:val="009E73D1"/>
    <w:rsid w:val="009E79CA"/>
    <w:rsid w:val="009E7FD3"/>
    <w:rsid w:val="009F1670"/>
    <w:rsid w:val="009F20EB"/>
    <w:rsid w:val="00A01F35"/>
    <w:rsid w:val="00A02756"/>
    <w:rsid w:val="00A03270"/>
    <w:rsid w:val="00A03DB5"/>
    <w:rsid w:val="00A06EFE"/>
    <w:rsid w:val="00A10B3E"/>
    <w:rsid w:val="00A116DB"/>
    <w:rsid w:val="00A164C2"/>
    <w:rsid w:val="00A175DA"/>
    <w:rsid w:val="00A176A9"/>
    <w:rsid w:val="00A20FBE"/>
    <w:rsid w:val="00A2224C"/>
    <w:rsid w:val="00A267E4"/>
    <w:rsid w:val="00A26B62"/>
    <w:rsid w:val="00A32059"/>
    <w:rsid w:val="00A3279B"/>
    <w:rsid w:val="00A32904"/>
    <w:rsid w:val="00A3362F"/>
    <w:rsid w:val="00A33942"/>
    <w:rsid w:val="00A3564F"/>
    <w:rsid w:val="00A40CF6"/>
    <w:rsid w:val="00A41E3C"/>
    <w:rsid w:val="00A47158"/>
    <w:rsid w:val="00A47EE4"/>
    <w:rsid w:val="00A50143"/>
    <w:rsid w:val="00A5593A"/>
    <w:rsid w:val="00A55D2D"/>
    <w:rsid w:val="00A56C20"/>
    <w:rsid w:val="00A56CDA"/>
    <w:rsid w:val="00A56D8F"/>
    <w:rsid w:val="00A63B80"/>
    <w:rsid w:val="00A650C1"/>
    <w:rsid w:val="00A672FF"/>
    <w:rsid w:val="00A7200A"/>
    <w:rsid w:val="00A728AA"/>
    <w:rsid w:val="00A730B9"/>
    <w:rsid w:val="00A7439C"/>
    <w:rsid w:val="00A7507E"/>
    <w:rsid w:val="00A772E4"/>
    <w:rsid w:val="00A77D8B"/>
    <w:rsid w:val="00A816A1"/>
    <w:rsid w:val="00A839CF"/>
    <w:rsid w:val="00A84EE8"/>
    <w:rsid w:val="00A87ABE"/>
    <w:rsid w:val="00A9169E"/>
    <w:rsid w:val="00A946F4"/>
    <w:rsid w:val="00A947C2"/>
    <w:rsid w:val="00A957D3"/>
    <w:rsid w:val="00A97094"/>
    <w:rsid w:val="00A97D97"/>
    <w:rsid w:val="00AA0160"/>
    <w:rsid w:val="00AA1C0D"/>
    <w:rsid w:val="00AA3616"/>
    <w:rsid w:val="00AA4A54"/>
    <w:rsid w:val="00AA5D8E"/>
    <w:rsid w:val="00AB40A7"/>
    <w:rsid w:val="00AC0302"/>
    <w:rsid w:val="00AC05A6"/>
    <w:rsid w:val="00AC0A4D"/>
    <w:rsid w:val="00AC2350"/>
    <w:rsid w:val="00AC2A2F"/>
    <w:rsid w:val="00AC6222"/>
    <w:rsid w:val="00AC6390"/>
    <w:rsid w:val="00AD194B"/>
    <w:rsid w:val="00AD207C"/>
    <w:rsid w:val="00AD2FA9"/>
    <w:rsid w:val="00AD535F"/>
    <w:rsid w:val="00AD5C5D"/>
    <w:rsid w:val="00AD61B5"/>
    <w:rsid w:val="00AE203D"/>
    <w:rsid w:val="00AE213F"/>
    <w:rsid w:val="00AE3477"/>
    <w:rsid w:val="00AE55EF"/>
    <w:rsid w:val="00AE732E"/>
    <w:rsid w:val="00AF22CC"/>
    <w:rsid w:val="00AF4241"/>
    <w:rsid w:val="00AF4993"/>
    <w:rsid w:val="00B013BC"/>
    <w:rsid w:val="00B02232"/>
    <w:rsid w:val="00B03B56"/>
    <w:rsid w:val="00B076AC"/>
    <w:rsid w:val="00B119A9"/>
    <w:rsid w:val="00B15278"/>
    <w:rsid w:val="00B174B8"/>
    <w:rsid w:val="00B2270A"/>
    <w:rsid w:val="00B2295E"/>
    <w:rsid w:val="00B237B5"/>
    <w:rsid w:val="00B277DD"/>
    <w:rsid w:val="00B27DE4"/>
    <w:rsid w:val="00B356CC"/>
    <w:rsid w:val="00B35AB5"/>
    <w:rsid w:val="00B360C4"/>
    <w:rsid w:val="00B36E76"/>
    <w:rsid w:val="00B3774F"/>
    <w:rsid w:val="00B403D1"/>
    <w:rsid w:val="00B41BA4"/>
    <w:rsid w:val="00B42CBD"/>
    <w:rsid w:val="00B43563"/>
    <w:rsid w:val="00B43EAB"/>
    <w:rsid w:val="00B5040F"/>
    <w:rsid w:val="00B51CC8"/>
    <w:rsid w:val="00B555A7"/>
    <w:rsid w:val="00B61F58"/>
    <w:rsid w:val="00B65EEC"/>
    <w:rsid w:val="00B802A2"/>
    <w:rsid w:val="00B80C12"/>
    <w:rsid w:val="00B83385"/>
    <w:rsid w:val="00B83DD8"/>
    <w:rsid w:val="00B84C23"/>
    <w:rsid w:val="00B86F54"/>
    <w:rsid w:val="00B9195D"/>
    <w:rsid w:val="00B95304"/>
    <w:rsid w:val="00B963CE"/>
    <w:rsid w:val="00B968CF"/>
    <w:rsid w:val="00BA081A"/>
    <w:rsid w:val="00BA164C"/>
    <w:rsid w:val="00BA317E"/>
    <w:rsid w:val="00BA3D1E"/>
    <w:rsid w:val="00BA71FB"/>
    <w:rsid w:val="00BB0E21"/>
    <w:rsid w:val="00BB179D"/>
    <w:rsid w:val="00BB4C71"/>
    <w:rsid w:val="00BC11CA"/>
    <w:rsid w:val="00BC156A"/>
    <w:rsid w:val="00BC2F69"/>
    <w:rsid w:val="00BC6BF2"/>
    <w:rsid w:val="00BD112C"/>
    <w:rsid w:val="00BD128F"/>
    <w:rsid w:val="00BD1F5B"/>
    <w:rsid w:val="00BD29F7"/>
    <w:rsid w:val="00BD2B14"/>
    <w:rsid w:val="00BD4423"/>
    <w:rsid w:val="00BD49CD"/>
    <w:rsid w:val="00BD689D"/>
    <w:rsid w:val="00BD7051"/>
    <w:rsid w:val="00BD7562"/>
    <w:rsid w:val="00BD776E"/>
    <w:rsid w:val="00BE0D7D"/>
    <w:rsid w:val="00BE1217"/>
    <w:rsid w:val="00BE37B5"/>
    <w:rsid w:val="00BE49C7"/>
    <w:rsid w:val="00BF299C"/>
    <w:rsid w:val="00BF66E8"/>
    <w:rsid w:val="00BF6C8D"/>
    <w:rsid w:val="00BF75C5"/>
    <w:rsid w:val="00C00B7B"/>
    <w:rsid w:val="00C01111"/>
    <w:rsid w:val="00C02510"/>
    <w:rsid w:val="00C02907"/>
    <w:rsid w:val="00C040E2"/>
    <w:rsid w:val="00C04933"/>
    <w:rsid w:val="00C05F75"/>
    <w:rsid w:val="00C11370"/>
    <w:rsid w:val="00C113C6"/>
    <w:rsid w:val="00C13A6E"/>
    <w:rsid w:val="00C15006"/>
    <w:rsid w:val="00C20FB6"/>
    <w:rsid w:val="00C24D14"/>
    <w:rsid w:val="00C260DE"/>
    <w:rsid w:val="00C26BD3"/>
    <w:rsid w:val="00C3182E"/>
    <w:rsid w:val="00C323F7"/>
    <w:rsid w:val="00C343C6"/>
    <w:rsid w:val="00C35436"/>
    <w:rsid w:val="00C35C67"/>
    <w:rsid w:val="00C35E01"/>
    <w:rsid w:val="00C362D6"/>
    <w:rsid w:val="00C4275B"/>
    <w:rsid w:val="00C4327A"/>
    <w:rsid w:val="00C45830"/>
    <w:rsid w:val="00C46712"/>
    <w:rsid w:val="00C47F23"/>
    <w:rsid w:val="00C51CF4"/>
    <w:rsid w:val="00C53617"/>
    <w:rsid w:val="00C550F3"/>
    <w:rsid w:val="00C56448"/>
    <w:rsid w:val="00C6281F"/>
    <w:rsid w:val="00C62B85"/>
    <w:rsid w:val="00C62BD4"/>
    <w:rsid w:val="00C63339"/>
    <w:rsid w:val="00C64B78"/>
    <w:rsid w:val="00C64D11"/>
    <w:rsid w:val="00C66589"/>
    <w:rsid w:val="00C66812"/>
    <w:rsid w:val="00C66ADE"/>
    <w:rsid w:val="00C66C39"/>
    <w:rsid w:val="00C66D1C"/>
    <w:rsid w:val="00C67128"/>
    <w:rsid w:val="00C71704"/>
    <w:rsid w:val="00C71FE8"/>
    <w:rsid w:val="00C72420"/>
    <w:rsid w:val="00C72745"/>
    <w:rsid w:val="00C72B84"/>
    <w:rsid w:val="00C7669D"/>
    <w:rsid w:val="00C80631"/>
    <w:rsid w:val="00C810B6"/>
    <w:rsid w:val="00C81133"/>
    <w:rsid w:val="00C8253F"/>
    <w:rsid w:val="00C836A4"/>
    <w:rsid w:val="00C85F9B"/>
    <w:rsid w:val="00C86307"/>
    <w:rsid w:val="00C91C0C"/>
    <w:rsid w:val="00C91E29"/>
    <w:rsid w:val="00C94E9B"/>
    <w:rsid w:val="00C969C6"/>
    <w:rsid w:val="00C97F17"/>
    <w:rsid w:val="00CA0D1B"/>
    <w:rsid w:val="00CA37C9"/>
    <w:rsid w:val="00CA510E"/>
    <w:rsid w:val="00CA61E9"/>
    <w:rsid w:val="00CA686E"/>
    <w:rsid w:val="00CA6904"/>
    <w:rsid w:val="00CA6DAC"/>
    <w:rsid w:val="00CB0D9F"/>
    <w:rsid w:val="00CB2394"/>
    <w:rsid w:val="00CB3B74"/>
    <w:rsid w:val="00CB441D"/>
    <w:rsid w:val="00CB51C5"/>
    <w:rsid w:val="00CB5564"/>
    <w:rsid w:val="00CC087B"/>
    <w:rsid w:val="00CC0AD5"/>
    <w:rsid w:val="00CC131F"/>
    <w:rsid w:val="00CC3436"/>
    <w:rsid w:val="00CC4416"/>
    <w:rsid w:val="00CC49F1"/>
    <w:rsid w:val="00CC7484"/>
    <w:rsid w:val="00CD404D"/>
    <w:rsid w:val="00CD5701"/>
    <w:rsid w:val="00CD6DC7"/>
    <w:rsid w:val="00CE1705"/>
    <w:rsid w:val="00CE1A05"/>
    <w:rsid w:val="00CE4595"/>
    <w:rsid w:val="00CE6E3B"/>
    <w:rsid w:val="00CE72C9"/>
    <w:rsid w:val="00CE7411"/>
    <w:rsid w:val="00CF104C"/>
    <w:rsid w:val="00CF1A1B"/>
    <w:rsid w:val="00CF1B7B"/>
    <w:rsid w:val="00CF3750"/>
    <w:rsid w:val="00CF38B3"/>
    <w:rsid w:val="00CF3BC9"/>
    <w:rsid w:val="00D0132C"/>
    <w:rsid w:val="00D02D8A"/>
    <w:rsid w:val="00D04B9C"/>
    <w:rsid w:val="00D0526B"/>
    <w:rsid w:val="00D06F26"/>
    <w:rsid w:val="00D11B81"/>
    <w:rsid w:val="00D12772"/>
    <w:rsid w:val="00D127D3"/>
    <w:rsid w:val="00D15DAC"/>
    <w:rsid w:val="00D15E93"/>
    <w:rsid w:val="00D17CBB"/>
    <w:rsid w:val="00D20461"/>
    <w:rsid w:val="00D206D7"/>
    <w:rsid w:val="00D22C3A"/>
    <w:rsid w:val="00D24808"/>
    <w:rsid w:val="00D24A87"/>
    <w:rsid w:val="00D264D0"/>
    <w:rsid w:val="00D26590"/>
    <w:rsid w:val="00D27275"/>
    <w:rsid w:val="00D325F5"/>
    <w:rsid w:val="00D32987"/>
    <w:rsid w:val="00D374E8"/>
    <w:rsid w:val="00D40E2E"/>
    <w:rsid w:val="00D40FF7"/>
    <w:rsid w:val="00D421A2"/>
    <w:rsid w:val="00D51528"/>
    <w:rsid w:val="00D51CA0"/>
    <w:rsid w:val="00D520C4"/>
    <w:rsid w:val="00D534B4"/>
    <w:rsid w:val="00D551D4"/>
    <w:rsid w:val="00D5636B"/>
    <w:rsid w:val="00D56DF0"/>
    <w:rsid w:val="00D60262"/>
    <w:rsid w:val="00D60F13"/>
    <w:rsid w:val="00D63A62"/>
    <w:rsid w:val="00D65422"/>
    <w:rsid w:val="00D66C07"/>
    <w:rsid w:val="00D677CF"/>
    <w:rsid w:val="00D70298"/>
    <w:rsid w:val="00D707DC"/>
    <w:rsid w:val="00D71199"/>
    <w:rsid w:val="00D71344"/>
    <w:rsid w:val="00D72072"/>
    <w:rsid w:val="00D724DC"/>
    <w:rsid w:val="00D76249"/>
    <w:rsid w:val="00D801AE"/>
    <w:rsid w:val="00D80EEC"/>
    <w:rsid w:val="00D8184D"/>
    <w:rsid w:val="00D82BB5"/>
    <w:rsid w:val="00D82CD1"/>
    <w:rsid w:val="00D842F5"/>
    <w:rsid w:val="00D84472"/>
    <w:rsid w:val="00D849C1"/>
    <w:rsid w:val="00D92261"/>
    <w:rsid w:val="00D92561"/>
    <w:rsid w:val="00D945D0"/>
    <w:rsid w:val="00D9490B"/>
    <w:rsid w:val="00DA2733"/>
    <w:rsid w:val="00DA3E3F"/>
    <w:rsid w:val="00DA47F9"/>
    <w:rsid w:val="00DB1AB1"/>
    <w:rsid w:val="00DB5F31"/>
    <w:rsid w:val="00DB7E8A"/>
    <w:rsid w:val="00DC1814"/>
    <w:rsid w:val="00DC4CF5"/>
    <w:rsid w:val="00DC55CB"/>
    <w:rsid w:val="00DC654A"/>
    <w:rsid w:val="00DC71B8"/>
    <w:rsid w:val="00DD0CF5"/>
    <w:rsid w:val="00DD18E0"/>
    <w:rsid w:val="00DD2FFC"/>
    <w:rsid w:val="00DD38A0"/>
    <w:rsid w:val="00DD5769"/>
    <w:rsid w:val="00DD796A"/>
    <w:rsid w:val="00DE24EB"/>
    <w:rsid w:val="00DE4429"/>
    <w:rsid w:val="00DF0FE8"/>
    <w:rsid w:val="00DF46FC"/>
    <w:rsid w:val="00E00E93"/>
    <w:rsid w:val="00E01261"/>
    <w:rsid w:val="00E04E81"/>
    <w:rsid w:val="00E05446"/>
    <w:rsid w:val="00E12364"/>
    <w:rsid w:val="00E12FA2"/>
    <w:rsid w:val="00E13EF4"/>
    <w:rsid w:val="00E15DE4"/>
    <w:rsid w:val="00E15DFC"/>
    <w:rsid w:val="00E237FE"/>
    <w:rsid w:val="00E270D2"/>
    <w:rsid w:val="00E32615"/>
    <w:rsid w:val="00E344C3"/>
    <w:rsid w:val="00E34519"/>
    <w:rsid w:val="00E3467D"/>
    <w:rsid w:val="00E41156"/>
    <w:rsid w:val="00E43461"/>
    <w:rsid w:val="00E4563E"/>
    <w:rsid w:val="00E45B46"/>
    <w:rsid w:val="00E46A19"/>
    <w:rsid w:val="00E47039"/>
    <w:rsid w:val="00E47D7E"/>
    <w:rsid w:val="00E51334"/>
    <w:rsid w:val="00E51DC7"/>
    <w:rsid w:val="00E563B9"/>
    <w:rsid w:val="00E56C86"/>
    <w:rsid w:val="00E6157E"/>
    <w:rsid w:val="00E670B4"/>
    <w:rsid w:val="00E67146"/>
    <w:rsid w:val="00E67618"/>
    <w:rsid w:val="00E6770B"/>
    <w:rsid w:val="00E70D9D"/>
    <w:rsid w:val="00E71928"/>
    <w:rsid w:val="00E72D73"/>
    <w:rsid w:val="00E760F4"/>
    <w:rsid w:val="00E81E63"/>
    <w:rsid w:val="00E81E8C"/>
    <w:rsid w:val="00E86406"/>
    <w:rsid w:val="00E86D17"/>
    <w:rsid w:val="00E91141"/>
    <w:rsid w:val="00E96641"/>
    <w:rsid w:val="00E974DE"/>
    <w:rsid w:val="00EA1E73"/>
    <w:rsid w:val="00EB0A2B"/>
    <w:rsid w:val="00EB19FF"/>
    <w:rsid w:val="00EB2378"/>
    <w:rsid w:val="00EB40F6"/>
    <w:rsid w:val="00EB5804"/>
    <w:rsid w:val="00EB6C9D"/>
    <w:rsid w:val="00EB764E"/>
    <w:rsid w:val="00EB7CDD"/>
    <w:rsid w:val="00EC02BF"/>
    <w:rsid w:val="00EC1D7C"/>
    <w:rsid w:val="00EC5A00"/>
    <w:rsid w:val="00EC66F4"/>
    <w:rsid w:val="00ED16A5"/>
    <w:rsid w:val="00ED2E4F"/>
    <w:rsid w:val="00ED56EF"/>
    <w:rsid w:val="00EE4AAF"/>
    <w:rsid w:val="00EE6FB1"/>
    <w:rsid w:val="00EF115F"/>
    <w:rsid w:val="00EF25C2"/>
    <w:rsid w:val="00EF347D"/>
    <w:rsid w:val="00EF4703"/>
    <w:rsid w:val="00EF4982"/>
    <w:rsid w:val="00EF58E3"/>
    <w:rsid w:val="00F015B1"/>
    <w:rsid w:val="00F02E4A"/>
    <w:rsid w:val="00F03373"/>
    <w:rsid w:val="00F04062"/>
    <w:rsid w:val="00F043C2"/>
    <w:rsid w:val="00F05251"/>
    <w:rsid w:val="00F100D8"/>
    <w:rsid w:val="00F10E54"/>
    <w:rsid w:val="00F12D55"/>
    <w:rsid w:val="00F14041"/>
    <w:rsid w:val="00F1426C"/>
    <w:rsid w:val="00F17269"/>
    <w:rsid w:val="00F20925"/>
    <w:rsid w:val="00F215D3"/>
    <w:rsid w:val="00F23F6A"/>
    <w:rsid w:val="00F25B9C"/>
    <w:rsid w:val="00F26C9E"/>
    <w:rsid w:val="00F27A39"/>
    <w:rsid w:val="00F27ACC"/>
    <w:rsid w:val="00F30134"/>
    <w:rsid w:val="00F30E48"/>
    <w:rsid w:val="00F31613"/>
    <w:rsid w:val="00F33BF9"/>
    <w:rsid w:val="00F33C99"/>
    <w:rsid w:val="00F371C2"/>
    <w:rsid w:val="00F41B58"/>
    <w:rsid w:val="00F42DBE"/>
    <w:rsid w:val="00F42F77"/>
    <w:rsid w:val="00F466A8"/>
    <w:rsid w:val="00F512A2"/>
    <w:rsid w:val="00F54667"/>
    <w:rsid w:val="00F54FBB"/>
    <w:rsid w:val="00F550E3"/>
    <w:rsid w:val="00F568A7"/>
    <w:rsid w:val="00F5698D"/>
    <w:rsid w:val="00F62BA9"/>
    <w:rsid w:val="00F6334E"/>
    <w:rsid w:val="00F65740"/>
    <w:rsid w:val="00F70A61"/>
    <w:rsid w:val="00F71A4B"/>
    <w:rsid w:val="00F723A0"/>
    <w:rsid w:val="00F73F69"/>
    <w:rsid w:val="00F77B12"/>
    <w:rsid w:val="00F83B30"/>
    <w:rsid w:val="00F84055"/>
    <w:rsid w:val="00F84E19"/>
    <w:rsid w:val="00F85010"/>
    <w:rsid w:val="00F853B6"/>
    <w:rsid w:val="00F96161"/>
    <w:rsid w:val="00F96475"/>
    <w:rsid w:val="00F978D9"/>
    <w:rsid w:val="00FA08C8"/>
    <w:rsid w:val="00FA19CF"/>
    <w:rsid w:val="00FA1B7B"/>
    <w:rsid w:val="00FA268B"/>
    <w:rsid w:val="00FA2B8C"/>
    <w:rsid w:val="00FA5FA5"/>
    <w:rsid w:val="00FA7010"/>
    <w:rsid w:val="00FB2857"/>
    <w:rsid w:val="00FB31F6"/>
    <w:rsid w:val="00FB4266"/>
    <w:rsid w:val="00FB58C0"/>
    <w:rsid w:val="00FB632A"/>
    <w:rsid w:val="00FC765B"/>
    <w:rsid w:val="00FD3BF5"/>
    <w:rsid w:val="00FD3F21"/>
    <w:rsid w:val="00FD6EB5"/>
    <w:rsid w:val="00FE0223"/>
    <w:rsid w:val="00FE1749"/>
    <w:rsid w:val="00FE2311"/>
    <w:rsid w:val="00FE289C"/>
    <w:rsid w:val="00FE55C7"/>
    <w:rsid w:val="00FE585C"/>
    <w:rsid w:val="00FE767D"/>
    <w:rsid w:val="00FE7C0A"/>
    <w:rsid w:val="00FF10C7"/>
    <w:rsid w:val="00FF3B94"/>
    <w:rsid w:val="00FF6F15"/>
    <w:rsid w:val="00FF71E8"/>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4C44C5"/>
  <w15:chartTrackingRefBased/>
  <w15:docId w15:val="{43652DDC-6E8D-4437-B700-28B5B0043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Light" w:eastAsiaTheme="minorHAnsi" w:hAnsi="Calibri Light" w:cstheme="minorBidi"/>
        <w:sz w:val="22"/>
        <w:szCs w:val="22"/>
        <w:lang w:val="lt-LT" w:eastAsia="en-US"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26BD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E55C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2A71A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7A39"/>
    <w:pPr>
      <w:ind w:left="720"/>
      <w:contextualSpacing/>
    </w:pPr>
  </w:style>
  <w:style w:type="character" w:styleId="CommentReference">
    <w:name w:val="annotation reference"/>
    <w:basedOn w:val="DefaultParagraphFont"/>
    <w:uiPriority w:val="99"/>
    <w:semiHidden/>
    <w:unhideWhenUsed/>
    <w:rsid w:val="00CB5564"/>
    <w:rPr>
      <w:sz w:val="16"/>
      <w:szCs w:val="16"/>
    </w:rPr>
  </w:style>
  <w:style w:type="paragraph" w:styleId="CommentText">
    <w:name w:val="annotation text"/>
    <w:basedOn w:val="Normal"/>
    <w:link w:val="CommentTextChar"/>
    <w:uiPriority w:val="99"/>
    <w:unhideWhenUsed/>
    <w:rsid w:val="00CB5564"/>
    <w:rPr>
      <w:sz w:val="20"/>
      <w:szCs w:val="20"/>
    </w:rPr>
  </w:style>
  <w:style w:type="character" w:customStyle="1" w:styleId="CommentTextChar">
    <w:name w:val="Comment Text Char"/>
    <w:basedOn w:val="DefaultParagraphFont"/>
    <w:link w:val="CommentText"/>
    <w:uiPriority w:val="99"/>
    <w:rsid w:val="00CB5564"/>
    <w:rPr>
      <w:sz w:val="20"/>
      <w:szCs w:val="20"/>
    </w:rPr>
  </w:style>
  <w:style w:type="paragraph" w:styleId="CommentSubject">
    <w:name w:val="annotation subject"/>
    <w:basedOn w:val="CommentText"/>
    <w:next w:val="CommentText"/>
    <w:link w:val="CommentSubjectChar"/>
    <w:uiPriority w:val="99"/>
    <w:semiHidden/>
    <w:unhideWhenUsed/>
    <w:rsid w:val="00CB5564"/>
    <w:rPr>
      <w:b/>
      <w:bCs/>
    </w:rPr>
  </w:style>
  <w:style w:type="character" w:customStyle="1" w:styleId="CommentSubjectChar">
    <w:name w:val="Comment Subject Char"/>
    <w:basedOn w:val="CommentTextChar"/>
    <w:link w:val="CommentSubject"/>
    <w:uiPriority w:val="99"/>
    <w:semiHidden/>
    <w:rsid w:val="00CB5564"/>
    <w:rPr>
      <w:b/>
      <w:bCs/>
      <w:sz w:val="20"/>
      <w:szCs w:val="20"/>
    </w:rPr>
  </w:style>
  <w:style w:type="paragraph" w:styleId="BalloonText">
    <w:name w:val="Balloon Text"/>
    <w:basedOn w:val="Normal"/>
    <w:link w:val="BalloonTextChar"/>
    <w:uiPriority w:val="99"/>
    <w:semiHidden/>
    <w:unhideWhenUsed/>
    <w:rsid w:val="00CB556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5564"/>
    <w:rPr>
      <w:rFonts w:ascii="Segoe UI" w:hAnsi="Segoe UI" w:cs="Segoe UI"/>
      <w:sz w:val="18"/>
      <w:szCs w:val="18"/>
    </w:rPr>
  </w:style>
  <w:style w:type="paragraph" w:styleId="Header">
    <w:name w:val="header"/>
    <w:basedOn w:val="Normal"/>
    <w:link w:val="HeaderChar"/>
    <w:uiPriority w:val="99"/>
    <w:unhideWhenUsed/>
    <w:rsid w:val="00404A94"/>
    <w:pPr>
      <w:tabs>
        <w:tab w:val="center" w:pos="4819"/>
        <w:tab w:val="right" w:pos="9638"/>
      </w:tabs>
      <w:spacing w:after="0"/>
    </w:pPr>
  </w:style>
  <w:style w:type="character" w:customStyle="1" w:styleId="HeaderChar">
    <w:name w:val="Header Char"/>
    <w:basedOn w:val="DefaultParagraphFont"/>
    <w:link w:val="Header"/>
    <w:uiPriority w:val="99"/>
    <w:rsid w:val="00404A94"/>
  </w:style>
  <w:style w:type="paragraph" w:styleId="Footer">
    <w:name w:val="footer"/>
    <w:basedOn w:val="Normal"/>
    <w:link w:val="FooterChar"/>
    <w:uiPriority w:val="99"/>
    <w:unhideWhenUsed/>
    <w:rsid w:val="00404A94"/>
    <w:pPr>
      <w:tabs>
        <w:tab w:val="center" w:pos="4819"/>
        <w:tab w:val="right" w:pos="9638"/>
      </w:tabs>
      <w:spacing w:after="0"/>
    </w:pPr>
  </w:style>
  <w:style w:type="character" w:customStyle="1" w:styleId="FooterChar">
    <w:name w:val="Footer Char"/>
    <w:basedOn w:val="DefaultParagraphFont"/>
    <w:link w:val="Footer"/>
    <w:uiPriority w:val="99"/>
    <w:rsid w:val="00404A94"/>
  </w:style>
  <w:style w:type="character" w:styleId="Hyperlink">
    <w:name w:val="Hyperlink"/>
    <w:uiPriority w:val="99"/>
    <w:unhideWhenUsed/>
    <w:rsid w:val="00404A94"/>
    <w:rPr>
      <w:color w:val="0563C1"/>
      <w:u w:val="single"/>
    </w:rPr>
  </w:style>
  <w:style w:type="character" w:customStyle="1" w:styleId="UnresolvedMention1">
    <w:name w:val="Unresolved Mention1"/>
    <w:basedOn w:val="DefaultParagraphFont"/>
    <w:uiPriority w:val="99"/>
    <w:semiHidden/>
    <w:unhideWhenUsed/>
    <w:rsid w:val="00FC765B"/>
    <w:rPr>
      <w:color w:val="808080"/>
      <w:shd w:val="clear" w:color="auto" w:fill="E6E6E6"/>
    </w:rPr>
  </w:style>
  <w:style w:type="character" w:customStyle="1" w:styleId="Heading1Char">
    <w:name w:val="Heading 1 Char"/>
    <w:basedOn w:val="DefaultParagraphFont"/>
    <w:link w:val="Heading1"/>
    <w:uiPriority w:val="9"/>
    <w:rsid w:val="00C26BD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E55C7"/>
    <w:rPr>
      <w:rFonts w:asciiTheme="majorHAnsi" w:eastAsiaTheme="majorEastAsia" w:hAnsiTheme="majorHAnsi" w:cstheme="majorBidi"/>
      <w:color w:val="2F5496" w:themeColor="accent1" w:themeShade="BF"/>
      <w:sz w:val="26"/>
      <w:szCs w:val="26"/>
    </w:rPr>
  </w:style>
  <w:style w:type="character" w:styleId="FollowedHyperlink">
    <w:name w:val="FollowedHyperlink"/>
    <w:basedOn w:val="DefaultParagraphFont"/>
    <w:uiPriority w:val="99"/>
    <w:semiHidden/>
    <w:unhideWhenUsed/>
    <w:rsid w:val="00FE55C7"/>
    <w:rPr>
      <w:color w:val="954F72" w:themeColor="followedHyperlink"/>
      <w:u w:val="single"/>
    </w:rPr>
  </w:style>
  <w:style w:type="character" w:styleId="Strong">
    <w:name w:val="Strong"/>
    <w:basedOn w:val="DefaultParagraphFont"/>
    <w:uiPriority w:val="22"/>
    <w:qFormat/>
    <w:rsid w:val="007B27AC"/>
    <w:rPr>
      <w:b/>
      <w:bCs/>
    </w:rPr>
  </w:style>
  <w:style w:type="character" w:customStyle="1" w:styleId="Heading3Char">
    <w:name w:val="Heading 3 Char"/>
    <w:basedOn w:val="DefaultParagraphFont"/>
    <w:link w:val="Heading3"/>
    <w:uiPriority w:val="9"/>
    <w:semiHidden/>
    <w:rsid w:val="002A71A6"/>
    <w:rPr>
      <w:rFonts w:asciiTheme="majorHAnsi" w:eastAsiaTheme="majorEastAsia" w:hAnsiTheme="majorHAnsi" w:cstheme="majorBidi"/>
      <w:color w:val="1F3763" w:themeColor="accent1" w:themeShade="7F"/>
      <w:sz w:val="24"/>
      <w:szCs w:val="24"/>
    </w:rPr>
  </w:style>
  <w:style w:type="paragraph" w:styleId="FootnoteText">
    <w:name w:val="footnote text"/>
    <w:basedOn w:val="Normal"/>
    <w:link w:val="FootnoteTextChar"/>
    <w:uiPriority w:val="99"/>
    <w:semiHidden/>
    <w:unhideWhenUsed/>
    <w:rsid w:val="00456AEB"/>
    <w:pPr>
      <w:spacing w:after="0"/>
    </w:pPr>
    <w:rPr>
      <w:sz w:val="20"/>
      <w:szCs w:val="20"/>
    </w:rPr>
  </w:style>
  <w:style w:type="character" w:customStyle="1" w:styleId="FootnoteTextChar">
    <w:name w:val="Footnote Text Char"/>
    <w:basedOn w:val="DefaultParagraphFont"/>
    <w:link w:val="FootnoteText"/>
    <w:uiPriority w:val="99"/>
    <w:semiHidden/>
    <w:rsid w:val="00456AEB"/>
    <w:rPr>
      <w:sz w:val="20"/>
      <w:szCs w:val="20"/>
    </w:rPr>
  </w:style>
  <w:style w:type="character" w:styleId="FootnoteReference">
    <w:name w:val="footnote reference"/>
    <w:basedOn w:val="DefaultParagraphFont"/>
    <w:uiPriority w:val="99"/>
    <w:semiHidden/>
    <w:unhideWhenUsed/>
    <w:rsid w:val="00456AEB"/>
    <w:rPr>
      <w:vertAlign w:val="superscript"/>
    </w:rPr>
  </w:style>
  <w:style w:type="character" w:styleId="UnresolvedMention">
    <w:name w:val="Unresolved Mention"/>
    <w:basedOn w:val="DefaultParagraphFont"/>
    <w:uiPriority w:val="99"/>
    <w:semiHidden/>
    <w:unhideWhenUsed/>
    <w:rsid w:val="004521F4"/>
    <w:rPr>
      <w:color w:val="605E5C"/>
      <w:shd w:val="clear" w:color="auto" w:fill="E1DFDD"/>
    </w:rPr>
  </w:style>
  <w:style w:type="paragraph" w:styleId="Revision">
    <w:name w:val="Revision"/>
    <w:hidden/>
    <w:uiPriority w:val="99"/>
    <w:semiHidden/>
    <w:rsid w:val="00831F03"/>
    <w:pPr>
      <w:spacing w:after="0"/>
      <w:jc w:val="left"/>
    </w:pPr>
  </w:style>
  <w:style w:type="paragraph" w:styleId="Title">
    <w:name w:val="Title"/>
    <w:basedOn w:val="Normal"/>
    <w:next w:val="Normal"/>
    <w:link w:val="TitleChar"/>
    <w:uiPriority w:val="10"/>
    <w:qFormat/>
    <w:rsid w:val="005923D2"/>
    <w:pPr>
      <w:keepNext/>
      <w:keepLines/>
      <w:spacing w:after="60" w:line="276" w:lineRule="auto"/>
      <w:jc w:val="left"/>
    </w:pPr>
    <w:rPr>
      <w:rFonts w:ascii="Arial" w:eastAsia="Arial" w:hAnsi="Arial" w:cs="Arial"/>
      <w:sz w:val="52"/>
      <w:szCs w:val="52"/>
      <w:lang w:val="lt" w:eastAsia="en-GB"/>
    </w:rPr>
  </w:style>
  <w:style w:type="character" w:customStyle="1" w:styleId="TitleChar">
    <w:name w:val="Title Char"/>
    <w:basedOn w:val="DefaultParagraphFont"/>
    <w:link w:val="Title"/>
    <w:uiPriority w:val="10"/>
    <w:rsid w:val="005923D2"/>
    <w:rPr>
      <w:rFonts w:ascii="Arial" w:eastAsia="Arial" w:hAnsi="Arial" w:cs="Arial"/>
      <w:sz w:val="52"/>
      <w:szCs w:val="52"/>
      <w:lang w:val="lt" w:eastAsia="en-GB"/>
    </w:rPr>
  </w:style>
  <w:style w:type="paragraph" w:customStyle="1" w:styleId="m-3097494929686872870msolistparagraph">
    <w:name w:val="m_-3097494929686872870msolistparagraph"/>
    <w:basedOn w:val="Normal"/>
    <w:rsid w:val="00B403D1"/>
    <w:pPr>
      <w:spacing w:before="100" w:beforeAutospacing="1" w:after="100" w:afterAutospacing="1"/>
      <w:jc w:val="left"/>
    </w:pPr>
    <w:rPr>
      <w:rFonts w:ascii="Times New Roman" w:eastAsia="Times New Roman" w:hAnsi="Times New Roman" w:cs="Times New Roman"/>
      <w:sz w:val="24"/>
      <w:szCs w:val="24"/>
      <w:lang w:val="en-LT" w:eastAsia="en-GB"/>
    </w:rPr>
  </w:style>
  <w:style w:type="character" w:customStyle="1" w:styleId="ui-provider">
    <w:name w:val="ui-provider"/>
    <w:basedOn w:val="DefaultParagraphFont"/>
    <w:rsid w:val="00B61F58"/>
  </w:style>
  <w:style w:type="character" w:customStyle="1" w:styleId="hgkelc">
    <w:name w:val="hgkelc"/>
    <w:basedOn w:val="DefaultParagraphFont"/>
    <w:rsid w:val="00B61F58"/>
  </w:style>
  <w:style w:type="table" w:styleId="TableGrid">
    <w:name w:val="Table Grid"/>
    <w:basedOn w:val="TableNormal"/>
    <w:uiPriority w:val="39"/>
    <w:rsid w:val="00220C7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0B13E8"/>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0B13E8"/>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ceholderText">
    <w:name w:val="Placeholder Text"/>
    <w:basedOn w:val="DefaultParagraphFont"/>
    <w:uiPriority w:val="99"/>
    <w:semiHidden/>
    <w:rsid w:val="007D4FB7"/>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32143">
      <w:bodyDiv w:val="1"/>
      <w:marLeft w:val="0"/>
      <w:marRight w:val="0"/>
      <w:marTop w:val="0"/>
      <w:marBottom w:val="0"/>
      <w:divBdr>
        <w:top w:val="none" w:sz="0" w:space="0" w:color="auto"/>
        <w:left w:val="none" w:sz="0" w:space="0" w:color="auto"/>
        <w:bottom w:val="none" w:sz="0" w:space="0" w:color="auto"/>
        <w:right w:val="none" w:sz="0" w:space="0" w:color="auto"/>
      </w:divBdr>
    </w:div>
    <w:div w:id="44761308">
      <w:bodyDiv w:val="1"/>
      <w:marLeft w:val="0"/>
      <w:marRight w:val="0"/>
      <w:marTop w:val="0"/>
      <w:marBottom w:val="0"/>
      <w:divBdr>
        <w:top w:val="none" w:sz="0" w:space="0" w:color="auto"/>
        <w:left w:val="none" w:sz="0" w:space="0" w:color="auto"/>
        <w:bottom w:val="none" w:sz="0" w:space="0" w:color="auto"/>
        <w:right w:val="none" w:sz="0" w:space="0" w:color="auto"/>
      </w:divBdr>
    </w:div>
    <w:div w:id="111443435">
      <w:bodyDiv w:val="1"/>
      <w:marLeft w:val="0"/>
      <w:marRight w:val="0"/>
      <w:marTop w:val="0"/>
      <w:marBottom w:val="0"/>
      <w:divBdr>
        <w:top w:val="none" w:sz="0" w:space="0" w:color="auto"/>
        <w:left w:val="none" w:sz="0" w:space="0" w:color="auto"/>
        <w:bottom w:val="none" w:sz="0" w:space="0" w:color="auto"/>
        <w:right w:val="none" w:sz="0" w:space="0" w:color="auto"/>
      </w:divBdr>
    </w:div>
    <w:div w:id="128940501">
      <w:bodyDiv w:val="1"/>
      <w:marLeft w:val="0"/>
      <w:marRight w:val="0"/>
      <w:marTop w:val="0"/>
      <w:marBottom w:val="0"/>
      <w:divBdr>
        <w:top w:val="none" w:sz="0" w:space="0" w:color="auto"/>
        <w:left w:val="none" w:sz="0" w:space="0" w:color="auto"/>
        <w:bottom w:val="none" w:sz="0" w:space="0" w:color="auto"/>
        <w:right w:val="none" w:sz="0" w:space="0" w:color="auto"/>
      </w:divBdr>
    </w:div>
    <w:div w:id="154153574">
      <w:bodyDiv w:val="1"/>
      <w:marLeft w:val="0"/>
      <w:marRight w:val="0"/>
      <w:marTop w:val="0"/>
      <w:marBottom w:val="0"/>
      <w:divBdr>
        <w:top w:val="none" w:sz="0" w:space="0" w:color="auto"/>
        <w:left w:val="none" w:sz="0" w:space="0" w:color="auto"/>
        <w:bottom w:val="none" w:sz="0" w:space="0" w:color="auto"/>
        <w:right w:val="none" w:sz="0" w:space="0" w:color="auto"/>
      </w:divBdr>
    </w:div>
    <w:div w:id="155000018">
      <w:bodyDiv w:val="1"/>
      <w:marLeft w:val="0"/>
      <w:marRight w:val="0"/>
      <w:marTop w:val="0"/>
      <w:marBottom w:val="0"/>
      <w:divBdr>
        <w:top w:val="none" w:sz="0" w:space="0" w:color="auto"/>
        <w:left w:val="none" w:sz="0" w:space="0" w:color="auto"/>
        <w:bottom w:val="none" w:sz="0" w:space="0" w:color="auto"/>
        <w:right w:val="none" w:sz="0" w:space="0" w:color="auto"/>
      </w:divBdr>
    </w:div>
    <w:div w:id="224729685">
      <w:bodyDiv w:val="1"/>
      <w:marLeft w:val="0"/>
      <w:marRight w:val="0"/>
      <w:marTop w:val="0"/>
      <w:marBottom w:val="0"/>
      <w:divBdr>
        <w:top w:val="none" w:sz="0" w:space="0" w:color="auto"/>
        <w:left w:val="none" w:sz="0" w:space="0" w:color="auto"/>
        <w:bottom w:val="none" w:sz="0" w:space="0" w:color="auto"/>
        <w:right w:val="none" w:sz="0" w:space="0" w:color="auto"/>
      </w:divBdr>
    </w:div>
    <w:div w:id="293368950">
      <w:bodyDiv w:val="1"/>
      <w:marLeft w:val="0"/>
      <w:marRight w:val="0"/>
      <w:marTop w:val="0"/>
      <w:marBottom w:val="0"/>
      <w:divBdr>
        <w:top w:val="none" w:sz="0" w:space="0" w:color="auto"/>
        <w:left w:val="none" w:sz="0" w:space="0" w:color="auto"/>
        <w:bottom w:val="none" w:sz="0" w:space="0" w:color="auto"/>
        <w:right w:val="none" w:sz="0" w:space="0" w:color="auto"/>
      </w:divBdr>
    </w:div>
    <w:div w:id="350497648">
      <w:bodyDiv w:val="1"/>
      <w:marLeft w:val="0"/>
      <w:marRight w:val="0"/>
      <w:marTop w:val="0"/>
      <w:marBottom w:val="0"/>
      <w:divBdr>
        <w:top w:val="none" w:sz="0" w:space="0" w:color="auto"/>
        <w:left w:val="none" w:sz="0" w:space="0" w:color="auto"/>
        <w:bottom w:val="none" w:sz="0" w:space="0" w:color="auto"/>
        <w:right w:val="none" w:sz="0" w:space="0" w:color="auto"/>
      </w:divBdr>
    </w:div>
    <w:div w:id="360597213">
      <w:bodyDiv w:val="1"/>
      <w:marLeft w:val="0"/>
      <w:marRight w:val="0"/>
      <w:marTop w:val="0"/>
      <w:marBottom w:val="0"/>
      <w:divBdr>
        <w:top w:val="none" w:sz="0" w:space="0" w:color="auto"/>
        <w:left w:val="none" w:sz="0" w:space="0" w:color="auto"/>
        <w:bottom w:val="none" w:sz="0" w:space="0" w:color="auto"/>
        <w:right w:val="none" w:sz="0" w:space="0" w:color="auto"/>
      </w:divBdr>
    </w:div>
    <w:div w:id="412823989">
      <w:bodyDiv w:val="1"/>
      <w:marLeft w:val="0"/>
      <w:marRight w:val="0"/>
      <w:marTop w:val="0"/>
      <w:marBottom w:val="0"/>
      <w:divBdr>
        <w:top w:val="none" w:sz="0" w:space="0" w:color="auto"/>
        <w:left w:val="none" w:sz="0" w:space="0" w:color="auto"/>
        <w:bottom w:val="none" w:sz="0" w:space="0" w:color="auto"/>
        <w:right w:val="none" w:sz="0" w:space="0" w:color="auto"/>
      </w:divBdr>
    </w:div>
    <w:div w:id="438765249">
      <w:bodyDiv w:val="1"/>
      <w:marLeft w:val="0"/>
      <w:marRight w:val="0"/>
      <w:marTop w:val="0"/>
      <w:marBottom w:val="0"/>
      <w:divBdr>
        <w:top w:val="none" w:sz="0" w:space="0" w:color="auto"/>
        <w:left w:val="none" w:sz="0" w:space="0" w:color="auto"/>
        <w:bottom w:val="none" w:sz="0" w:space="0" w:color="auto"/>
        <w:right w:val="none" w:sz="0" w:space="0" w:color="auto"/>
      </w:divBdr>
    </w:div>
    <w:div w:id="450438894">
      <w:bodyDiv w:val="1"/>
      <w:marLeft w:val="0"/>
      <w:marRight w:val="0"/>
      <w:marTop w:val="0"/>
      <w:marBottom w:val="0"/>
      <w:divBdr>
        <w:top w:val="none" w:sz="0" w:space="0" w:color="auto"/>
        <w:left w:val="none" w:sz="0" w:space="0" w:color="auto"/>
        <w:bottom w:val="none" w:sz="0" w:space="0" w:color="auto"/>
        <w:right w:val="none" w:sz="0" w:space="0" w:color="auto"/>
      </w:divBdr>
    </w:div>
    <w:div w:id="527522939">
      <w:bodyDiv w:val="1"/>
      <w:marLeft w:val="0"/>
      <w:marRight w:val="0"/>
      <w:marTop w:val="0"/>
      <w:marBottom w:val="0"/>
      <w:divBdr>
        <w:top w:val="none" w:sz="0" w:space="0" w:color="auto"/>
        <w:left w:val="none" w:sz="0" w:space="0" w:color="auto"/>
        <w:bottom w:val="none" w:sz="0" w:space="0" w:color="auto"/>
        <w:right w:val="none" w:sz="0" w:space="0" w:color="auto"/>
      </w:divBdr>
    </w:div>
    <w:div w:id="538590059">
      <w:bodyDiv w:val="1"/>
      <w:marLeft w:val="0"/>
      <w:marRight w:val="0"/>
      <w:marTop w:val="0"/>
      <w:marBottom w:val="0"/>
      <w:divBdr>
        <w:top w:val="none" w:sz="0" w:space="0" w:color="auto"/>
        <w:left w:val="none" w:sz="0" w:space="0" w:color="auto"/>
        <w:bottom w:val="none" w:sz="0" w:space="0" w:color="auto"/>
        <w:right w:val="none" w:sz="0" w:space="0" w:color="auto"/>
      </w:divBdr>
    </w:div>
    <w:div w:id="563570940">
      <w:bodyDiv w:val="1"/>
      <w:marLeft w:val="0"/>
      <w:marRight w:val="0"/>
      <w:marTop w:val="0"/>
      <w:marBottom w:val="0"/>
      <w:divBdr>
        <w:top w:val="none" w:sz="0" w:space="0" w:color="auto"/>
        <w:left w:val="none" w:sz="0" w:space="0" w:color="auto"/>
        <w:bottom w:val="none" w:sz="0" w:space="0" w:color="auto"/>
        <w:right w:val="none" w:sz="0" w:space="0" w:color="auto"/>
      </w:divBdr>
    </w:div>
    <w:div w:id="593246841">
      <w:bodyDiv w:val="1"/>
      <w:marLeft w:val="0"/>
      <w:marRight w:val="0"/>
      <w:marTop w:val="0"/>
      <w:marBottom w:val="0"/>
      <w:divBdr>
        <w:top w:val="none" w:sz="0" w:space="0" w:color="auto"/>
        <w:left w:val="none" w:sz="0" w:space="0" w:color="auto"/>
        <w:bottom w:val="none" w:sz="0" w:space="0" w:color="auto"/>
        <w:right w:val="none" w:sz="0" w:space="0" w:color="auto"/>
      </w:divBdr>
    </w:div>
    <w:div w:id="636227962">
      <w:bodyDiv w:val="1"/>
      <w:marLeft w:val="0"/>
      <w:marRight w:val="0"/>
      <w:marTop w:val="0"/>
      <w:marBottom w:val="0"/>
      <w:divBdr>
        <w:top w:val="none" w:sz="0" w:space="0" w:color="auto"/>
        <w:left w:val="none" w:sz="0" w:space="0" w:color="auto"/>
        <w:bottom w:val="none" w:sz="0" w:space="0" w:color="auto"/>
        <w:right w:val="none" w:sz="0" w:space="0" w:color="auto"/>
      </w:divBdr>
    </w:div>
    <w:div w:id="648438984">
      <w:bodyDiv w:val="1"/>
      <w:marLeft w:val="0"/>
      <w:marRight w:val="0"/>
      <w:marTop w:val="0"/>
      <w:marBottom w:val="0"/>
      <w:divBdr>
        <w:top w:val="none" w:sz="0" w:space="0" w:color="auto"/>
        <w:left w:val="none" w:sz="0" w:space="0" w:color="auto"/>
        <w:bottom w:val="none" w:sz="0" w:space="0" w:color="auto"/>
        <w:right w:val="none" w:sz="0" w:space="0" w:color="auto"/>
      </w:divBdr>
    </w:div>
    <w:div w:id="655304003">
      <w:bodyDiv w:val="1"/>
      <w:marLeft w:val="0"/>
      <w:marRight w:val="0"/>
      <w:marTop w:val="0"/>
      <w:marBottom w:val="0"/>
      <w:divBdr>
        <w:top w:val="none" w:sz="0" w:space="0" w:color="auto"/>
        <w:left w:val="none" w:sz="0" w:space="0" w:color="auto"/>
        <w:bottom w:val="none" w:sz="0" w:space="0" w:color="auto"/>
        <w:right w:val="none" w:sz="0" w:space="0" w:color="auto"/>
      </w:divBdr>
    </w:div>
    <w:div w:id="662926648">
      <w:bodyDiv w:val="1"/>
      <w:marLeft w:val="0"/>
      <w:marRight w:val="0"/>
      <w:marTop w:val="0"/>
      <w:marBottom w:val="0"/>
      <w:divBdr>
        <w:top w:val="none" w:sz="0" w:space="0" w:color="auto"/>
        <w:left w:val="none" w:sz="0" w:space="0" w:color="auto"/>
        <w:bottom w:val="none" w:sz="0" w:space="0" w:color="auto"/>
        <w:right w:val="none" w:sz="0" w:space="0" w:color="auto"/>
      </w:divBdr>
    </w:div>
    <w:div w:id="694162171">
      <w:bodyDiv w:val="1"/>
      <w:marLeft w:val="0"/>
      <w:marRight w:val="0"/>
      <w:marTop w:val="0"/>
      <w:marBottom w:val="0"/>
      <w:divBdr>
        <w:top w:val="none" w:sz="0" w:space="0" w:color="auto"/>
        <w:left w:val="none" w:sz="0" w:space="0" w:color="auto"/>
        <w:bottom w:val="none" w:sz="0" w:space="0" w:color="auto"/>
        <w:right w:val="none" w:sz="0" w:space="0" w:color="auto"/>
      </w:divBdr>
    </w:div>
    <w:div w:id="699746044">
      <w:bodyDiv w:val="1"/>
      <w:marLeft w:val="0"/>
      <w:marRight w:val="0"/>
      <w:marTop w:val="0"/>
      <w:marBottom w:val="0"/>
      <w:divBdr>
        <w:top w:val="none" w:sz="0" w:space="0" w:color="auto"/>
        <w:left w:val="none" w:sz="0" w:space="0" w:color="auto"/>
        <w:bottom w:val="none" w:sz="0" w:space="0" w:color="auto"/>
        <w:right w:val="none" w:sz="0" w:space="0" w:color="auto"/>
      </w:divBdr>
    </w:div>
    <w:div w:id="704986985">
      <w:bodyDiv w:val="1"/>
      <w:marLeft w:val="0"/>
      <w:marRight w:val="0"/>
      <w:marTop w:val="0"/>
      <w:marBottom w:val="0"/>
      <w:divBdr>
        <w:top w:val="none" w:sz="0" w:space="0" w:color="auto"/>
        <w:left w:val="none" w:sz="0" w:space="0" w:color="auto"/>
        <w:bottom w:val="none" w:sz="0" w:space="0" w:color="auto"/>
        <w:right w:val="none" w:sz="0" w:space="0" w:color="auto"/>
      </w:divBdr>
      <w:divsChild>
        <w:div w:id="1152867329">
          <w:marLeft w:val="0"/>
          <w:marRight w:val="0"/>
          <w:marTop w:val="0"/>
          <w:marBottom w:val="0"/>
          <w:divBdr>
            <w:top w:val="none" w:sz="0" w:space="0" w:color="auto"/>
            <w:left w:val="none" w:sz="0" w:space="0" w:color="auto"/>
            <w:bottom w:val="none" w:sz="0" w:space="0" w:color="auto"/>
            <w:right w:val="none" w:sz="0" w:space="0" w:color="auto"/>
          </w:divBdr>
        </w:div>
        <w:div w:id="701594428">
          <w:marLeft w:val="0"/>
          <w:marRight w:val="0"/>
          <w:marTop w:val="0"/>
          <w:marBottom w:val="0"/>
          <w:divBdr>
            <w:top w:val="none" w:sz="0" w:space="0" w:color="auto"/>
            <w:left w:val="none" w:sz="0" w:space="0" w:color="auto"/>
            <w:bottom w:val="none" w:sz="0" w:space="0" w:color="auto"/>
            <w:right w:val="none" w:sz="0" w:space="0" w:color="auto"/>
          </w:divBdr>
        </w:div>
        <w:div w:id="1542129582">
          <w:marLeft w:val="0"/>
          <w:marRight w:val="0"/>
          <w:marTop w:val="0"/>
          <w:marBottom w:val="0"/>
          <w:divBdr>
            <w:top w:val="none" w:sz="0" w:space="0" w:color="auto"/>
            <w:left w:val="none" w:sz="0" w:space="0" w:color="auto"/>
            <w:bottom w:val="none" w:sz="0" w:space="0" w:color="auto"/>
            <w:right w:val="none" w:sz="0" w:space="0" w:color="auto"/>
          </w:divBdr>
        </w:div>
      </w:divsChild>
    </w:div>
    <w:div w:id="710810708">
      <w:bodyDiv w:val="1"/>
      <w:marLeft w:val="0"/>
      <w:marRight w:val="0"/>
      <w:marTop w:val="0"/>
      <w:marBottom w:val="0"/>
      <w:divBdr>
        <w:top w:val="none" w:sz="0" w:space="0" w:color="auto"/>
        <w:left w:val="none" w:sz="0" w:space="0" w:color="auto"/>
        <w:bottom w:val="none" w:sz="0" w:space="0" w:color="auto"/>
        <w:right w:val="none" w:sz="0" w:space="0" w:color="auto"/>
      </w:divBdr>
    </w:div>
    <w:div w:id="786393893">
      <w:bodyDiv w:val="1"/>
      <w:marLeft w:val="0"/>
      <w:marRight w:val="0"/>
      <w:marTop w:val="0"/>
      <w:marBottom w:val="0"/>
      <w:divBdr>
        <w:top w:val="none" w:sz="0" w:space="0" w:color="auto"/>
        <w:left w:val="none" w:sz="0" w:space="0" w:color="auto"/>
        <w:bottom w:val="none" w:sz="0" w:space="0" w:color="auto"/>
        <w:right w:val="none" w:sz="0" w:space="0" w:color="auto"/>
      </w:divBdr>
    </w:div>
    <w:div w:id="786773655">
      <w:bodyDiv w:val="1"/>
      <w:marLeft w:val="0"/>
      <w:marRight w:val="0"/>
      <w:marTop w:val="0"/>
      <w:marBottom w:val="0"/>
      <w:divBdr>
        <w:top w:val="none" w:sz="0" w:space="0" w:color="auto"/>
        <w:left w:val="none" w:sz="0" w:space="0" w:color="auto"/>
        <w:bottom w:val="none" w:sz="0" w:space="0" w:color="auto"/>
        <w:right w:val="none" w:sz="0" w:space="0" w:color="auto"/>
      </w:divBdr>
    </w:div>
    <w:div w:id="810296003">
      <w:bodyDiv w:val="1"/>
      <w:marLeft w:val="0"/>
      <w:marRight w:val="0"/>
      <w:marTop w:val="0"/>
      <w:marBottom w:val="0"/>
      <w:divBdr>
        <w:top w:val="none" w:sz="0" w:space="0" w:color="auto"/>
        <w:left w:val="none" w:sz="0" w:space="0" w:color="auto"/>
        <w:bottom w:val="none" w:sz="0" w:space="0" w:color="auto"/>
        <w:right w:val="none" w:sz="0" w:space="0" w:color="auto"/>
      </w:divBdr>
    </w:div>
    <w:div w:id="814447279">
      <w:bodyDiv w:val="1"/>
      <w:marLeft w:val="0"/>
      <w:marRight w:val="0"/>
      <w:marTop w:val="0"/>
      <w:marBottom w:val="0"/>
      <w:divBdr>
        <w:top w:val="none" w:sz="0" w:space="0" w:color="auto"/>
        <w:left w:val="none" w:sz="0" w:space="0" w:color="auto"/>
        <w:bottom w:val="none" w:sz="0" w:space="0" w:color="auto"/>
        <w:right w:val="none" w:sz="0" w:space="0" w:color="auto"/>
      </w:divBdr>
    </w:div>
    <w:div w:id="820973573">
      <w:bodyDiv w:val="1"/>
      <w:marLeft w:val="0"/>
      <w:marRight w:val="0"/>
      <w:marTop w:val="0"/>
      <w:marBottom w:val="0"/>
      <w:divBdr>
        <w:top w:val="none" w:sz="0" w:space="0" w:color="auto"/>
        <w:left w:val="none" w:sz="0" w:space="0" w:color="auto"/>
        <w:bottom w:val="none" w:sz="0" w:space="0" w:color="auto"/>
        <w:right w:val="none" w:sz="0" w:space="0" w:color="auto"/>
      </w:divBdr>
    </w:div>
    <w:div w:id="831264494">
      <w:bodyDiv w:val="1"/>
      <w:marLeft w:val="0"/>
      <w:marRight w:val="0"/>
      <w:marTop w:val="0"/>
      <w:marBottom w:val="0"/>
      <w:divBdr>
        <w:top w:val="none" w:sz="0" w:space="0" w:color="auto"/>
        <w:left w:val="none" w:sz="0" w:space="0" w:color="auto"/>
        <w:bottom w:val="none" w:sz="0" w:space="0" w:color="auto"/>
        <w:right w:val="none" w:sz="0" w:space="0" w:color="auto"/>
      </w:divBdr>
    </w:div>
    <w:div w:id="880245446">
      <w:bodyDiv w:val="1"/>
      <w:marLeft w:val="0"/>
      <w:marRight w:val="0"/>
      <w:marTop w:val="0"/>
      <w:marBottom w:val="0"/>
      <w:divBdr>
        <w:top w:val="none" w:sz="0" w:space="0" w:color="auto"/>
        <w:left w:val="none" w:sz="0" w:space="0" w:color="auto"/>
        <w:bottom w:val="none" w:sz="0" w:space="0" w:color="auto"/>
        <w:right w:val="none" w:sz="0" w:space="0" w:color="auto"/>
      </w:divBdr>
    </w:div>
    <w:div w:id="911040588">
      <w:bodyDiv w:val="1"/>
      <w:marLeft w:val="0"/>
      <w:marRight w:val="0"/>
      <w:marTop w:val="0"/>
      <w:marBottom w:val="0"/>
      <w:divBdr>
        <w:top w:val="none" w:sz="0" w:space="0" w:color="auto"/>
        <w:left w:val="none" w:sz="0" w:space="0" w:color="auto"/>
        <w:bottom w:val="none" w:sz="0" w:space="0" w:color="auto"/>
        <w:right w:val="none" w:sz="0" w:space="0" w:color="auto"/>
      </w:divBdr>
    </w:div>
    <w:div w:id="913124491">
      <w:bodyDiv w:val="1"/>
      <w:marLeft w:val="0"/>
      <w:marRight w:val="0"/>
      <w:marTop w:val="0"/>
      <w:marBottom w:val="0"/>
      <w:divBdr>
        <w:top w:val="none" w:sz="0" w:space="0" w:color="auto"/>
        <w:left w:val="none" w:sz="0" w:space="0" w:color="auto"/>
        <w:bottom w:val="none" w:sz="0" w:space="0" w:color="auto"/>
        <w:right w:val="none" w:sz="0" w:space="0" w:color="auto"/>
      </w:divBdr>
    </w:div>
    <w:div w:id="920286704">
      <w:bodyDiv w:val="1"/>
      <w:marLeft w:val="0"/>
      <w:marRight w:val="0"/>
      <w:marTop w:val="0"/>
      <w:marBottom w:val="0"/>
      <w:divBdr>
        <w:top w:val="none" w:sz="0" w:space="0" w:color="auto"/>
        <w:left w:val="none" w:sz="0" w:space="0" w:color="auto"/>
        <w:bottom w:val="none" w:sz="0" w:space="0" w:color="auto"/>
        <w:right w:val="none" w:sz="0" w:space="0" w:color="auto"/>
      </w:divBdr>
    </w:div>
    <w:div w:id="935557786">
      <w:bodyDiv w:val="1"/>
      <w:marLeft w:val="0"/>
      <w:marRight w:val="0"/>
      <w:marTop w:val="0"/>
      <w:marBottom w:val="0"/>
      <w:divBdr>
        <w:top w:val="none" w:sz="0" w:space="0" w:color="auto"/>
        <w:left w:val="none" w:sz="0" w:space="0" w:color="auto"/>
        <w:bottom w:val="none" w:sz="0" w:space="0" w:color="auto"/>
        <w:right w:val="none" w:sz="0" w:space="0" w:color="auto"/>
      </w:divBdr>
    </w:div>
    <w:div w:id="965354334">
      <w:bodyDiv w:val="1"/>
      <w:marLeft w:val="0"/>
      <w:marRight w:val="0"/>
      <w:marTop w:val="0"/>
      <w:marBottom w:val="0"/>
      <w:divBdr>
        <w:top w:val="none" w:sz="0" w:space="0" w:color="auto"/>
        <w:left w:val="none" w:sz="0" w:space="0" w:color="auto"/>
        <w:bottom w:val="none" w:sz="0" w:space="0" w:color="auto"/>
        <w:right w:val="none" w:sz="0" w:space="0" w:color="auto"/>
      </w:divBdr>
    </w:div>
    <w:div w:id="1045178166">
      <w:bodyDiv w:val="1"/>
      <w:marLeft w:val="0"/>
      <w:marRight w:val="0"/>
      <w:marTop w:val="0"/>
      <w:marBottom w:val="0"/>
      <w:divBdr>
        <w:top w:val="none" w:sz="0" w:space="0" w:color="auto"/>
        <w:left w:val="none" w:sz="0" w:space="0" w:color="auto"/>
        <w:bottom w:val="none" w:sz="0" w:space="0" w:color="auto"/>
        <w:right w:val="none" w:sz="0" w:space="0" w:color="auto"/>
      </w:divBdr>
    </w:div>
    <w:div w:id="1052076455">
      <w:bodyDiv w:val="1"/>
      <w:marLeft w:val="0"/>
      <w:marRight w:val="0"/>
      <w:marTop w:val="0"/>
      <w:marBottom w:val="0"/>
      <w:divBdr>
        <w:top w:val="none" w:sz="0" w:space="0" w:color="auto"/>
        <w:left w:val="none" w:sz="0" w:space="0" w:color="auto"/>
        <w:bottom w:val="none" w:sz="0" w:space="0" w:color="auto"/>
        <w:right w:val="none" w:sz="0" w:space="0" w:color="auto"/>
      </w:divBdr>
    </w:div>
    <w:div w:id="1089690831">
      <w:bodyDiv w:val="1"/>
      <w:marLeft w:val="0"/>
      <w:marRight w:val="0"/>
      <w:marTop w:val="0"/>
      <w:marBottom w:val="0"/>
      <w:divBdr>
        <w:top w:val="none" w:sz="0" w:space="0" w:color="auto"/>
        <w:left w:val="none" w:sz="0" w:space="0" w:color="auto"/>
        <w:bottom w:val="none" w:sz="0" w:space="0" w:color="auto"/>
        <w:right w:val="none" w:sz="0" w:space="0" w:color="auto"/>
      </w:divBdr>
    </w:div>
    <w:div w:id="1131367087">
      <w:bodyDiv w:val="1"/>
      <w:marLeft w:val="0"/>
      <w:marRight w:val="0"/>
      <w:marTop w:val="0"/>
      <w:marBottom w:val="0"/>
      <w:divBdr>
        <w:top w:val="none" w:sz="0" w:space="0" w:color="auto"/>
        <w:left w:val="none" w:sz="0" w:space="0" w:color="auto"/>
        <w:bottom w:val="none" w:sz="0" w:space="0" w:color="auto"/>
        <w:right w:val="none" w:sz="0" w:space="0" w:color="auto"/>
      </w:divBdr>
    </w:div>
    <w:div w:id="1197891052">
      <w:bodyDiv w:val="1"/>
      <w:marLeft w:val="0"/>
      <w:marRight w:val="0"/>
      <w:marTop w:val="0"/>
      <w:marBottom w:val="0"/>
      <w:divBdr>
        <w:top w:val="none" w:sz="0" w:space="0" w:color="auto"/>
        <w:left w:val="none" w:sz="0" w:space="0" w:color="auto"/>
        <w:bottom w:val="none" w:sz="0" w:space="0" w:color="auto"/>
        <w:right w:val="none" w:sz="0" w:space="0" w:color="auto"/>
      </w:divBdr>
    </w:div>
    <w:div w:id="1224485604">
      <w:bodyDiv w:val="1"/>
      <w:marLeft w:val="0"/>
      <w:marRight w:val="0"/>
      <w:marTop w:val="0"/>
      <w:marBottom w:val="0"/>
      <w:divBdr>
        <w:top w:val="none" w:sz="0" w:space="0" w:color="auto"/>
        <w:left w:val="none" w:sz="0" w:space="0" w:color="auto"/>
        <w:bottom w:val="none" w:sz="0" w:space="0" w:color="auto"/>
        <w:right w:val="none" w:sz="0" w:space="0" w:color="auto"/>
      </w:divBdr>
    </w:div>
    <w:div w:id="1240795968">
      <w:bodyDiv w:val="1"/>
      <w:marLeft w:val="0"/>
      <w:marRight w:val="0"/>
      <w:marTop w:val="0"/>
      <w:marBottom w:val="0"/>
      <w:divBdr>
        <w:top w:val="none" w:sz="0" w:space="0" w:color="auto"/>
        <w:left w:val="none" w:sz="0" w:space="0" w:color="auto"/>
        <w:bottom w:val="none" w:sz="0" w:space="0" w:color="auto"/>
        <w:right w:val="none" w:sz="0" w:space="0" w:color="auto"/>
      </w:divBdr>
    </w:div>
    <w:div w:id="1246262532">
      <w:bodyDiv w:val="1"/>
      <w:marLeft w:val="0"/>
      <w:marRight w:val="0"/>
      <w:marTop w:val="0"/>
      <w:marBottom w:val="0"/>
      <w:divBdr>
        <w:top w:val="none" w:sz="0" w:space="0" w:color="auto"/>
        <w:left w:val="none" w:sz="0" w:space="0" w:color="auto"/>
        <w:bottom w:val="none" w:sz="0" w:space="0" w:color="auto"/>
        <w:right w:val="none" w:sz="0" w:space="0" w:color="auto"/>
      </w:divBdr>
    </w:div>
    <w:div w:id="1281767772">
      <w:bodyDiv w:val="1"/>
      <w:marLeft w:val="0"/>
      <w:marRight w:val="0"/>
      <w:marTop w:val="0"/>
      <w:marBottom w:val="0"/>
      <w:divBdr>
        <w:top w:val="none" w:sz="0" w:space="0" w:color="auto"/>
        <w:left w:val="none" w:sz="0" w:space="0" w:color="auto"/>
        <w:bottom w:val="none" w:sz="0" w:space="0" w:color="auto"/>
        <w:right w:val="none" w:sz="0" w:space="0" w:color="auto"/>
      </w:divBdr>
    </w:div>
    <w:div w:id="1305963726">
      <w:bodyDiv w:val="1"/>
      <w:marLeft w:val="0"/>
      <w:marRight w:val="0"/>
      <w:marTop w:val="0"/>
      <w:marBottom w:val="0"/>
      <w:divBdr>
        <w:top w:val="none" w:sz="0" w:space="0" w:color="auto"/>
        <w:left w:val="none" w:sz="0" w:space="0" w:color="auto"/>
        <w:bottom w:val="none" w:sz="0" w:space="0" w:color="auto"/>
        <w:right w:val="none" w:sz="0" w:space="0" w:color="auto"/>
      </w:divBdr>
    </w:div>
    <w:div w:id="1360936295">
      <w:bodyDiv w:val="1"/>
      <w:marLeft w:val="0"/>
      <w:marRight w:val="0"/>
      <w:marTop w:val="0"/>
      <w:marBottom w:val="0"/>
      <w:divBdr>
        <w:top w:val="none" w:sz="0" w:space="0" w:color="auto"/>
        <w:left w:val="none" w:sz="0" w:space="0" w:color="auto"/>
        <w:bottom w:val="none" w:sz="0" w:space="0" w:color="auto"/>
        <w:right w:val="none" w:sz="0" w:space="0" w:color="auto"/>
      </w:divBdr>
    </w:div>
    <w:div w:id="1417635154">
      <w:bodyDiv w:val="1"/>
      <w:marLeft w:val="0"/>
      <w:marRight w:val="0"/>
      <w:marTop w:val="0"/>
      <w:marBottom w:val="0"/>
      <w:divBdr>
        <w:top w:val="none" w:sz="0" w:space="0" w:color="auto"/>
        <w:left w:val="none" w:sz="0" w:space="0" w:color="auto"/>
        <w:bottom w:val="none" w:sz="0" w:space="0" w:color="auto"/>
        <w:right w:val="none" w:sz="0" w:space="0" w:color="auto"/>
      </w:divBdr>
    </w:div>
    <w:div w:id="1521236123">
      <w:bodyDiv w:val="1"/>
      <w:marLeft w:val="0"/>
      <w:marRight w:val="0"/>
      <w:marTop w:val="0"/>
      <w:marBottom w:val="0"/>
      <w:divBdr>
        <w:top w:val="none" w:sz="0" w:space="0" w:color="auto"/>
        <w:left w:val="none" w:sz="0" w:space="0" w:color="auto"/>
        <w:bottom w:val="none" w:sz="0" w:space="0" w:color="auto"/>
        <w:right w:val="none" w:sz="0" w:space="0" w:color="auto"/>
      </w:divBdr>
    </w:div>
    <w:div w:id="1611544636">
      <w:bodyDiv w:val="1"/>
      <w:marLeft w:val="0"/>
      <w:marRight w:val="0"/>
      <w:marTop w:val="0"/>
      <w:marBottom w:val="0"/>
      <w:divBdr>
        <w:top w:val="none" w:sz="0" w:space="0" w:color="auto"/>
        <w:left w:val="none" w:sz="0" w:space="0" w:color="auto"/>
        <w:bottom w:val="none" w:sz="0" w:space="0" w:color="auto"/>
        <w:right w:val="none" w:sz="0" w:space="0" w:color="auto"/>
      </w:divBdr>
    </w:div>
    <w:div w:id="1658923773">
      <w:bodyDiv w:val="1"/>
      <w:marLeft w:val="0"/>
      <w:marRight w:val="0"/>
      <w:marTop w:val="0"/>
      <w:marBottom w:val="0"/>
      <w:divBdr>
        <w:top w:val="none" w:sz="0" w:space="0" w:color="auto"/>
        <w:left w:val="none" w:sz="0" w:space="0" w:color="auto"/>
        <w:bottom w:val="none" w:sz="0" w:space="0" w:color="auto"/>
        <w:right w:val="none" w:sz="0" w:space="0" w:color="auto"/>
      </w:divBdr>
    </w:div>
    <w:div w:id="1659916763">
      <w:bodyDiv w:val="1"/>
      <w:marLeft w:val="0"/>
      <w:marRight w:val="0"/>
      <w:marTop w:val="0"/>
      <w:marBottom w:val="0"/>
      <w:divBdr>
        <w:top w:val="none" w:sz="0" w:space="0" w:color="auto"/>
        <w:left w:val="none" w:sz="0" w:space="0" w:color="auto"/>
        <w:bottom w:val="none" w:sz="0" w:space="0" w:color="auto"/>
        <w:right w:val="none" w:sz="0" w:space="0" w:color="auto"/>
      </w:divBdr>
      <w:divsChild>
        <w:div w:id="576473367">
          <w:marLeft w:val="0"/>
          <w:marRight w:val="0"/>
          <w:marTop w:val="0"/>
          <w:marBottom w:val="0"/>
          <w:divBdr>
            <w:top w:val="none" w:sz="0" w:space="0" w:color="auto"/>
            <w:left w:val="none" w:sz="0" w:space="0" w:color="auto"/>
            <w:bottom w:val="none" w:sz="0" w:space="0" w:color="auto"/>
            <w:right w:val="none" w:sz="0" w:space="0" w:color="auto"/>
          </w:divBdr>
        </w:div>
        <w:div w:id="465700204">
          <w:marLeft w:val="0"/>
          <w:marRight w:val="0"/>
          <w:marTop w:val="0"/>
          <w:marBottom w:val="0"/>
          <w:divBdr>
            <w:top w:val="none" w:sz="0" w:space="0" w:color="auto"/>
            <w:left w:val="none" w:sz="0" w:space="0" w:color="auto"/>
            <w:bottom w:val="none" w:sz="0" w:space="0" w:color="auto"/>
            <w:right w:val="none" w:sz="0" w:space="0" w:color="auto"/>
          </w:divBdr>
        </w:div>
        <w:div w:id="50615462">
          <w:marLeft w:val="0"/>
          <w:marRight w:val="0"/>
          <w:marTop w:val="0"/>
          <w:marBottom w:val="0"/>
          <w:divBdr>
            <w:top w:val="none" w:sz="0" w:space="0" w:color="auto"/>
            <w:left w:val="none" w:sz="0" w:space="0" w:color="auto"/>
            <w:bottom w:val="none" w:sz="0" w:space="0" w:color="auto"/>
            <w:right w:val="none" w:sz="0" w:space="0" w:color="auto"/>
          </w:divBdr>
        </w:div>
        <w:div w:id="349795777">
          <w:marLeft w:val="0"/>
          <w:marRight w:val="0"/>
          <w:marTop w:val="0"/>
          <w:marBottom w:val="0"/>
          <w:divBdr>
            <w:top w:val="none" w:sz="0" w:space="0" w:color="auto"/>
            <w:left w:val="none" w:sz="0" w:space="0" w:color="auto"/>
            <w:bottom w:val="none" w:sz="0" w:space="0" w:color="auto"/>
            <w:right w:val="none" w:sz="0" w:space="0" w:color="auto"/>
          </w:divBdr>
        </w:div>
        <w:div w:id="119232390">
          <w:marLeft w:val="0"/>
          <w:marRight w:val="0"/>
          <w:marTop w:val="0"/>
          <w:marBottom w:val="0"/>
          <w:divBdr>
            <w:top w:val="none" w:sz="0" w:space="0" w:color="auto"/>
            <w:left w:val="none" w:sz="0" w:space="0" w:color="auto"/>
            <w:bottom w:val="none" w:sz="0" w:space="0" w:color="auto"/>
            <w:right w:val="none" w:sz="0" w:space="0" w:color="auto"/>
          </w:divBdr>
        </w:div>
        <w:div w:id="1278217950">
          <w:marLeft w:val="0"/>
          <w:marRight w:val="0"/>
          <w:marTop w:val="0"/>
          <w:marBottom w:val="0"/>
          <w:divBdr>
            <w:top w:val="none" w:sz="0" w:space="0" w:color="auto"/>
            <w:left w:val="none" w:sz="0" w:space="0" w:color="auto"/>
            <w:bottom w:val="none" w:sz="0" w:space="0" w:color="auto"/>
            <w:right w:val="none" w:sz="0" w:space="0" w:color="auto"/>
          </w:divBdr>
        </w:div>
        <w:div w:id="1469398164">
          <w:marLeft w:val="0"/>
          <w:marRight w:val="0"/>
          <w:marTop w:val="0"/>
          <w:marBottom w:val="0"/>
          <w:divBdr>
            <w:top w:val="none" w:sz="0" w:space="0" w:color="auto"/>
            <w:left w:val="none" w:sz="0" w:space="0" w:color="auto"/>
            <w:bottom w:val="none" w:sz="0" w:space="0" w:color="auto"/>
            <w:right w:val="none" w:sz="0" w:space="0" w:color="auto"/>
          </w:divBdr>
        </w:div>
        <w:div w:id="120344250">
          <w:marLeft w:val="0"/>
          <w:marRight w:val="0"/>
          <w:marTop w:val="0"/>
          <w:marBottom w:val="0"/>
          <w:divBdr>
            <w:top w:val="none" w:sz="0" w:space="0" w:color="auto"/>
            <w:left w:val="none" w:sz="0" w:space="0" w:color="auto"/>
            <w:bottom w:val="none" w:sz="0" w:space="0" w:color="auto"/>
            <w:right w:val="none" w:sz="0" w:space="0" w:color="auto"/>
          </w:divBdr>
        </w:div>
        <w:div w:id="1602569846">
          <w:marLeft w:val="0"/>
          <w:marRight w:val="0"/>
          <w:marTop w:val="0"/>
          <w:marBottom w:val="0"/>
          <w:divBdr>
            <w:top w:val="none" w:sz="0" w:space="0" w:color="auto"/>
            <w:left w:val="none" w:sz="0" w:space="0" w:color="auto"/>
            <w:bottom w:val="none" w:sz="0" w:space="0" w:color="auto"/>
            <w:right w:val="none" w:sz="0" w:space="0" w:color="auto"/>
          </w:divBdr>
        </w:div>
        <w:div w:id="1213543567">
          <w:marLeft w:val="0"/>
          <w:marRight w:val="0"/>
          <w:marTop w:val="0"/>
          <w:marBottom w:val="0"/>
          <w:divBdr>
            <w:top w:val="none" w:sz="0" w:space="0" w:color="auto"/>
            <w:left w:val="none" w:sz="0" w:space="0" w:color="auto"/>
            <w:bottom w:val="none" w:sz="0" w:space="0" w:color="auto"/>
            <w:right w:val="none" w:sz="0" w:space="0" w:color="auto"/>
          </w:divBdr>
        </w:div>
      </w:divsChild>
    </w:div>
    <w:div w:id="1702053102">
      <w:bodyDiv w:val="1"/>
      <w:marLeft w:val="0"/>
      <w:marRight w:val="0"/>
      <w:marTop w:val="0"/>
      <w:marBottom w:val="0"/>
      <w:divBdr>
        <w:top w:val="none" w:sz="0" w:space="0" w:color="auto"/>
        <w:left w:val="none" w:sz="0" w:space="0" w:color="auto"/>
        <w:bottom w:val="none" w:sz="0" w:space="0" w:color="auto"/>
        <w:right w:val="none" w:sz="0" w:space="0" w:color="auto"/>
      </w:divBdr>
    </w:div>
    <w:div w:id="1704329974">
      <w:bodyDiv w:val="1"/>
      <w:marLeft w:val="0"/>
      <w:marRight w:val="0"/>
      <w:marTop w:val="0"/>
      <w:marBottom w:val="0"/>
      <w:divBdr>
        <w:top w:val="none" w:sz="0" w:space="0" w:color="auto"/>
        <w:left w:val="none" w:sz="0" w:space="0" w:color="auto"/>
        <w:bottom w:val="none" w:sz="0" w:space="0" w:color="auto"/>
        <w:right w:val="none" w:sz="0" w:space="0" w:color="auto"/>
      </w:divBdr>
    </w:div>
    <w:div w:id="1714694457">
      <w:bodyDiv w:val="1"/>
      <w:marLeft w:val="0"/>
      <w:marRight w:val="0"/>
      <w:marTop w:val="0"/>
      <w:marBottom w:val="0"/>
      <w:divBdr>
        <w:top w:val="none" w:sz="0" w:space="0" w:color="auto"/>
        <w:left w:val="none" w:sz="0" w:space="0" w:color="auto"/>
        <w:bottom w:val="none" w:sz="0" w:space="0" w:color="auto"/>
        <w:right w:val="none" w:sz="0" w:space="0" w:color="auto"/>
      </w:divBdr>
    </w:div>
    <w:div w:id="1761638098">
      <w:bodyDiv w:val="1"/>
      <w:marLeft w:val="0"/>
      <w:marRight w:val="0"/>
      <w:marTop w:val="0"/>
      <w:marBottom w:val="0"/>
      <w:divBdr>
        <w:top w:val="none" w:sz="0" w:space="0" w:color="auto"/>
        <w:left w:val="none" w:sz="0" w:space="0" w:color="auto"/>
        <w:bottom w:val="none" w:sz="0" w:space="0" w:color="auto"/>
        <w:right w:val="none" w:sz="0" w:space="0" w:color="auto"/>
      </w:divBdr>
    </w:div>
    <w:div w:id="1790661542">
      <w:bodyDiv w:val="1"/>
      <w:marLeft w:val="0"/>
      <w:marRight w:val="0"/>
      <w:marTop w:val="0"/>
      <w:marBottom w:val="0"/>
      <w:divBdr>
        <w:top w:val="none" w:sz="0" w:space="0" w:color="auto"/>
        <w:left w:val="none" w:sz="0" w:space="0" w:color="auto"/>
        <w:bottom w:val="none" w:sz="0" w:space="0" w:color="auto"/>
        <w:right w:val="none" w:sz="0" w:space="0" w:color="auto"/>
      </w:divBdr>
    </w:div>
    <w:div w:id="1849366871">
      <w:bodyDiv w:val="1"/>
      <w:marLeft w:val="0"/>
      <w:marRight w:val="0"/>
      <w:marTop w:val="0"/>
      <w:marBottom w:val="0"/>
      <w:divBdr>
        <w:top w:val="none" w:sz="0" w:space="0" w:color="auto"/>
        <w:left w:val="none" w:sz="0" w:space="0" w:color="auto"/>
        <w:bottom w:val="none" w:sz="0" w:space="0" w:color="auto"/>
        <w:right w:val="none" w:sz="0" w:space="0" w:color="auto"/>
      </w:divBdr>
    </w:div>
    <w:div w:id="1894121767">
      <w:bodyDiv w:val="1"/>
      <w:marLeft w:val="0"/>
      <w:marRight w:val="0"/>
      <w:marTop w:val="0"/>
      <w:marBottom w:val="0"/>
      <w:divBdr>
        <w:top w:val="none" w:sz="0" w:space="0" w:color="auto"/>
        <w:left w:val="none" w:sz="0" w:space="0" w:color="auto"/>
        <w:bottom w:val="none" w:sz="0" w:space="0" w:color="auto"/>
        <w:right w:val="none" w:sz="0" w:space="0" w:color="auto"/>
      </w:divBdr>
    </w:div>
    <w:div w:id="1912344832">
      <w:bodyDiv w:val="1"/>
      <w:marLeft w:val="0"/>
      <w:marRight w:val="0"/>
      <w:marTop w:val="0"/>
      <w:marBottom w:val="0"/>
      <w:divBdr>
        <w:top w:val="none" w:sz="0" w:space="0" w:color="auto"/>
        <w:left w:val="none" w:sz="0" w:space="0" w:color="auto"/>
        <w:bottom w:val="none" w:sz="0" w:space="0" w:color="auto"/>
        <w:right w:val="none" w:sz="0" w:space="0" w:color="auto"/>
      </w:divBdr>
    </w:div>
    <w:div w:id="1913730746">
      <w:bodyDiv w:val="1"/>
      <w:marLeft w:val="0"/>
      <w:marRight w:val="0"/>
      <w:marTop w:val="0"/>
      <w:marBottom w:val="0"/>
      <w:divBdr>
        <w:top w:val="none" w:sz="0" w:space="0" w:color="auto"/>
        <w:left w:val="none" w:sz="0" w:space="0" w:color="auto"/>
        <w:bottom w:val="none" w:sz="0" w:space="0" w:color="auto"/>
        <w:right w:val="none" w:sz="0" w:space="0" w:color="auto"/>
      </w:divBdr>
    </w:div>
    <w:div w:id="1918856953">
      <w:bodyDiv w:val="1"/>
      <w:marLeft w:val="0"/>
      <w:marRight w:val="0"/>
      <w:marTop w:val="0"/>
      <w:marBottom w:val="0"/>
      <w:divBdr>
        <w:top w:val="none" w:sz="0" w:space="0" w:color="auto"/>
        <w:left w:val="none" w:sz="0" w:space="0" w:color="auto"/>
        <w:bottom w:val="none" w:sz="0" w:space="0" w:color="auto"/>
        <w:right w:val="none" w:sz="0" w:space="0" w:color="auto"/>
      </w:divBdr>
    </w:div>
    <w:div w:id="1933123333">
      <w:bodyDiv w:val="1"/>
      <w:marLeft w:val="0"/>
      <w:marRight w:val="0"/>
      <w:marTop w:val="0"/>
      <w:marBottom w:val="0"/>
      <w:divBdr>
        <w:top w:val="none" w:sz="0" w:space="0" w:color="auto"/>
        <w:left w:val="none" w:sz="0" w:space="0" w:color="auto"/>
        <w:bottom w:val="none" w:sz="0" w:space="0" w:color="auto"/>
        <w:right w:val="none" w:sz="0" w:space="0" w:color="auto"/>
      </w:divBdr>
    </w:div>
    <w:div w:id="1965429675">
      <w:bodyDiv w:val="1"/>
      <w:marLeft w:val="0"/>
      <w:marRight w:val="0"/>
      <w:marTop w:val="0"/>
      <w:marBottom w:val="0"/>
      <w:divBdr>
        <w:top w:val="none" w:sz="0" w:space="0" w:color="auto"/>
        <w:left w:val="none" w:sz="0" w:space="0" w:color="auto"/>
        <w:bottom w:val="none" w:sz="0" w:space="0" w:color="auto"/>
        <w:right w:val="none" w:sz="0" w:space="0" w:color="auto"/>
      </w:divBdr>
    </w:div>
    <w:div w:id="1983919527">
      <w:bodyDiv w:val="1"/>
      <w:marLeft w:val="0"/>
      <w:marRight w:val="0"/>
      <w:marTop w:val="0"/>
      <w:marBottom w:val="0"/>
      <w:divBdr>
        <w:top w:val="none" w:sz="0" w:space="0" w:color="auto"/>
        <w:left w:val="none" w:sz="0" w:space="0" w:color="auto"/>
        <w:bottom w:val="none" w:sz="0" w:space="0" w:color="auto"/>
        <w:right w:val="none" w:sz="0" w:space="0" w:color="auto"/>
      </w:divBdr>
    </w:div>
    <w:div w:id="2031681597">
      <w:bodyDiv w:val="1"/>
      <w:marLeft w:val="0"/>
      <w:marRight w:val="0"/>
      <w:marTop w:val="0"/>
      <w:marBottom w:val="0"/>
      <w:divBdr>
        <w:top w:val="none" w:sz="0" w:space="0" w:color="auto"/>
        <w:left w:val="none" w:sz="0" w:space="0" w:color="auto"/>
        <w:bottom w:val="none" w:sz="0" w:space="0" w:color="auto"/>
        <w:right w:val="none" w:sz="0" w:space="0" w:color="auto"/>
      </w:divBdr>
    </w:div>
    <w:div w:id="2054888788">
      <w:bodyDiv w:val="1"/>
      <w:marLeft w:val="0"/>
      <w:marRight w:val="0"/>
      <w:marTop w:val="0"/>
      <w:marBottom w:val="0"/>
      <w:divBdr>
        <w:top w:val="none" w:sz="0" w:space="0" w:color="auto"/>
        <w:left w:val="none" w:sz="0" w:space="0" w:color="auto"/>
        <w:bottom w:val="none" w:sz="0" w:space="0" w:color="auto"/>
        <w:right w:val="none" w:sz="0" w:space="0" w:color="auto"/>
      </w:divBdr>
    </w:div>
    <w:div w:id="207547025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ytas.stalnionis@citus.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itus.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EC8714-A1BD-2142-95D5-582952AB3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Pages>
  <Words>1466</Words>
  <Characters>8358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9805</CharactersWithSpaces>
  <SharedDoc>false</SharedDoc>
  <HLinks>
    <vt:vector size="12" baseType="variant">
      <vt:variant>
        <vt:i4>786454</vt:i4>
      </vt:variant>
      <vt:variant>
        <vt:i4>3</vt:i4>
      </vt:variant>
      <vt:variant>
        <vt:i4>0</vt:i4>
      </vt:variant>
      <vt:variant>
        <vt:i4>5</vt:i4>
      </vt:variant>
      <vt:variant>
        <vt:lpwstr>http://www.citus.lt/</vt:lpwstr>
      </vt:variant>
      <vt:variant>
        <vt:lpwstr/>
      </vt:variant>
      <vt:variant>
        <vt:i4>7012376</vt:i4>
      </vt:variant>
      <vt:variant>
        <vt:i4>0</vt:i4>
      </vt:variant>
      <vt:variant>
        <vt:i4>0</vt:i4>
      </vt:variant>
      <vt:variant>
        <vt:i4>5</vt:i4>
      </vt:variant>
      <vt:variant>
        <vt:lpwstr>mailto:rytas.stalnionis@citus.lt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Rytas</dc:creator>
  <cp:keywords/>
  <dc:description/>
  <cp:lastModifiedBy>Rytas Stalnionis | Citus</cp:lastModifiedBy>
  <cp:revision>9</cp:revision>
  <cp:lastPrinted>2018-09-12T07:36:00Z</cp:lastPrinted>
  <dcterms:created xsi:type="dcterms:W3CDTF">2025-05-27T07:58:00Z</dcterms:created>
  <dcterms:modified xsi:type="dcterms:W3CDTF">2025-06-06T09:01:00Z</dcterms:modified>
</cp:coreProperties>
</file>