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CFCF" w14:textId="77777777" w:rsidR="00FC53A0" w:rsidRDefault="00000000">
      <w:pPr>
        <w:pStyle w:val="Body"/>
      </w:pPr>
      <w:r>
        <w:rPr>
          <w:noProof/>
        </w:rPr>
        <w:drawing>
          <wp:inline distT="0" distB="0" distL="0" distR="0" wp14:anchorId="70EAA6F6" wp14:editId="75141025">
            <wp:extent cx="6400673" cy="1244576"/>
            <wp:effectExtent l="0" t="0" r="0" b="0"/>
            <wp:docPr id="1073741825" name="officeArt object"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close up of a logoDescription automatically generated" descr="A close up of a logoDescription automatically generated"/>
                    <pic:cNvPicPr>
                      <a:picLocks noChangeAspect="1"/>
                    </pic:cNvPicPr>
                  </pic:nvPicPr>
                  <pic:blipFill>
                    <a:blip r:embed="rId7"/>
                    <a:stretch>
                      <a:fillRect/>
                    </a:stretch>
                  </pic:blipFill>
                  <pic:spPr>
                    <a:xfrm>
                      <a:off x="0" y="0"/>
                      <a:ext cx="6400673" cy="1244576"/>
                    </a:xfrm>
                    <a:prstGeom prst="rect">
                      <a:avLst/>
                    </a:prstGeom>
                    <a:ln w="12700" cap="flat">
                      <a:noFill/>
                      <a:miter lim="400000"/>
                    </a:ln>
                    <a:effectLst/>
                  </pic:spPr>
                </pic:pic>
              </a:graphicData>
            </a:graphic>
          </wp:inline>
        </w:drawing>
      </w:r>
    </w:p>
    <w:p w14:paraId="706DE84D" w14:textId="54CD78F2" w:rsidR="00FC53A0" w:rsidRPr="00A87721" w:rsidRDefault="00F336A5" w:rsidP="00183ABF">
      <w:pPr>
        <w:pStyle w:val="Body"/>
        <w:jc w:val="center"/>
        <w:rPr>
          <w:rFonts w:ascii="Helvetica" w:eastAsia="Helvetica" w:hAnsi="Helvetica" w:cs="Helvetica"/>
          <w:b/>
          <w:bCs/>
          <w:sz w:val="22"/>
          <w:szCs w:val="22"/>
        </w:rPr>
      </w:pPr>
      <w:r w:rsidRPr="00BC02A8">
        <w:rPr>
          <w:rFonts w:ascii="Helvetica" w:hAnsi="Helvetica"/>
          <w:b/>
          <w:bCs/>
          <w:sz w:val="28"/>
          <w:szCs w:val="28"/>
        </w:rPr>
        <w:t>Susipažinkite su „Venu X1“ – ploniausiu „Garmin“ laikrodžiu su išskirtiniu 2 colių AMOLED ekranu</w:t>
      </w:r>
      <w:r w:rsidR="002163C0" w:rsidRPr="00BC02A8">
        <w:rPr>
          <w:rFonts w:ascii="Helvetica" w:eastAsia="Helvetica" w:hAnsi="Helvetica" w:cs="Helvetica"/>
          <w:b/>
          <w:bCs/>
          <w:sz w:val="22"/>
          <w:szCs w:val="22"/>
        </w:rPr>
        <w:br/>
      </w:r>
    </w:p>
    <w:p w14:paraId="17D3B3B4" w14:textId="28E4337B" w:rsidR="00FC53A0" w:rsidRPr="00A87721" w:rsidRDefault="00A87721">
      <w:pPr>
        <w:pStyle w:val="Body"/>
        <w:jc w:val="both"/>
        <w:rPr>
          <w:rFonts w:ascii="Helvetica" w:hAnsi="Helvetica"/>
          <w:b/>
          <w:bCs/>
          <w:sz w:val="22"/>
          <w:szCs w:val="22"/>
        </w:rPr>
      </w:pPr>
      <w:r w:rsidRPr="00A87721">
        <w:rPr>
          <w:rFonts w:ascii="Helvetica" w:hAnsi="Helvetica"/>
          <w:b/>
          <w:bCs/>
          <w:sz w:val="22"/>
          <w:szCs w:val="22"/>
        </w:rPr>
        <w:t xml:space="preserve">„Garmin“ pristato naują išmanų laikrodį „Venu X1“ – tai naujovė rinkoje, sujungianti pažangiausias technologijas ir stilingą dizainą. Išskirtinis 2 colių AMOLED ekranas, įbrėžimams atsparus safyro stiklas, titano nugarėlė ir iki 8 dienų veikianti baterija – visa tai padės stebėti svarbiausius sveikatos ir fizinio aktyvumo rodiklius bei mėgautis nepriekaištingu, elegantišku dizainu. „Venu X1“ taip pat turi integruotą mikrofoną, garsiakalbį ir LED žibintuvėlį, todėl atsiliepti </w:t>
      </w:r>
      <w:r w:rsidR="00332BB4" w:rsidRPr="00A87721">
        <w:rPr>
          <w:rFonts w:ascii="Helvetica" w:hAnsi="Helvetica"/>
          <w:b/>
          <w:bCs/>
          <w:sz w:val="22"/>
          <w:szCs w:val="22"/>
        </w:rPr>
        <w:t xml:space="preserve">į skambučius ar perskaityti pranešimus galima dar patogiau. </w:t>
      </w:r>
    </w:p>
    <w:p w14:paraId="5CA0753D" w14:textId="77777777" w:rsidR="00A25C7A" w:rsidRDefault="00A25C7A">
      <w:pPr>
        <w:pStyle w:val="Body"/>
        <w:jc w:val="both"/>
        <w:rPr>
          <w:rFonts w:ascii="Helvetica" w:eastAsia="Helvetica" w:hAnsi="Helvetica" w:cs="Helvetica"/>
          <w:b/>
          <w:bCs/>
          <w:sz w:val="22"/>
          <w:szCs w:val="22"/>
        </w:rPr>
      </w:pPr>
    </w:p>
    <w:p w14:paraId="1BC468A6" w14:textId="1461683B" w:rsidR="008C74AA" w:rsidRDefault="00DF1193">
      <w:pPr>
        <w:pStyle w:val="Body"/>
        <w:jc w:val="both"/>
        <w:rPr>
          <w:rFonts w:ascii="Helvetica" w:eastAsia="Helvetica" w:hAnsi="Helvetica" w:cs="Helvetica"/>
          <w:b/>
          <w:bCs/>
          <w:sz w:val="22"/>
          <w:szCs w:val="22"/>
        </w:rPr>
      </w:pPr>
      <w:r w:rsidRPr="00DF1193">
        <w:rPr>
          <w:rFonts w:ascii="Helvetica" w:eastAsia="Helvetica" w:hAnsi="Helvetica" w:cs="Helvetica"/>
          <w:sz w:val="22"/>
          <w:szCs w:val="22"/>
        </w:rPr>
        <w:t>„</w:t>
      </w:r>
      <w:r w:rsidR="00662A93" w:rsidRPr="00662A93">
        <w:rPr>
          <w:rFonts w:ascii="Helvetica" w:eastAsia="Helvetica" w:hAnsi="Helvetica" w:cs="Helvetica"/>
          <w:sz w:val="22"/>
          <w:szCs w:val="22"/>
        </w:rPr>
        <w:t>Venu X1</w:t>
      </w:r>
      <w:r w:rsidR="00662A93">
        <w:rPr>
          <w:rFonts w:ascii="Helvetica" w:eastAsia="Helvetica" w:hAnsi="Helvetica" w:cs="Helvetica"/>
          <w:sz w:val="22"/>
          <w:szCs w:val="22"/>
        </w:rPr>
        <w:t>“</w:t>
      </w:r>
      <w:r w:rsidR="00662A93" w:rsidRPr="00662A93">
        <w:rPr>
          <w:rFonts w:ascii="Helvetica" w:eastAsia="Helvetica" w:hAnsi="Helvetica" w:cs="Helvetica"/>
          <w:sz w:val="22"/>
          <w:szCs w:val="22"/>
        </w:rPr>
        <w:t xml:space="preserve"> – </w:t>
      </w:r>
      <w:r w:rsidR="00662A93">
        <w:rPr>
          <w:rFonts w:ascii="Helvetica" w:eastAsia="Helvetica" w:hAnsi="Helvetica" w:cs="Helvetica"/>
          <w:sz w:val="22"/>
          <w:szCs w:val="22"/>
        </w:rPr>
        <w:t>tai</w:t>
      </w:r>
      <w:r w:rsidR="00662A93" w:rsidRPr="00662A93">
        <w:rPr>
          <w:rFonts w:ascii="Helvetica" w:eastAsia="Helvetica" w:hAnsi="Helvetica" w:cs="Helvetica"/>
          <w:sz w:val="22"/>
          <w:szCs w:val="22"/>
        </w:rPr>
        <w:t xml:space="preserve"> funkcionalumo ir stiliaus derinys. </w:t>
      </w:r>
      <w:r w:rsidR="00662A93">
        <w:rPr>
          <w:rFonts w:ascii="Helvetica" w:eastAsia="Helvetica" w:hAnsi="Helvetica" w:cs="Helvetica"/>
          <w:sz w:val="22"/>
          <w:szCs w:val="22"/>
        </w:rPr>
        <w:t>Šiame įrenginyje</w:t>
      </w:r>
      <w:r w:rsidR="00662A93" w:rsidRPr="00662A93">
        <w:rPr>
          <w:rFonts w:ascii="Helvetica" w:eastAsia="Helvetica" w:hAnsi="Helvetica" w:cs="Helvetica"/>
          <w:sz w:val="22"/>
          <w:szCs w:val="22"/>
        </w:rPr>
        <w:t xml:space="preserve"> sutalpintos visos svarbiausios „Garmin“ funkcijos, tačiau išlaikytas elegantiškas dizainas. </w:t>
      </w:r>
      <w:r w:rsidR="00662A93">
        <w:rPr>
          <w:rFonts w:ascii="Helvetica" w:eastAsia="Helvetica" w:hAnsi="Helvetica" w:cs="Helvetica"/>
          <w:sz w:val="22"/>
          <w:szCs w:val="22"/>
        </w:rPr>
        <w:t>D</w:t>
      </w:r>
      <w:r w:rsidR="00662A93" w:rsidRPr="00662A93">
        <w:rPr>
          <w:rFonts w:ascii="Helvetica" w:eastAsia="Helvetica" w:hAnsi="Helvetica" w:cs="Helvetica"/>
          <w:sz w:val="22"/>
          <w:szCs w:val="22"/>
        </w:rPr>
        <w:t xml:space="preserve">idelis ekranas </w:t>
      </w:r>
      <w:r w:rsidR="00662A93">
        <w:rPr>
          <w:rFonts w:ascii="Helvetica" w:eastAsia="Helvetica" w:hAnsi="Helvetica" w:cs="Helvetica"/>
          <w:sz w:val="22"/>
          <w:szCs w:val="22"/>
        </w:rPr>
        <w:t xml:space="preserve">suteikia galimybę matyti </w:t>
      </w:r>
      <w:r w:rsidR="00A87721">
        <w:rPr>
          <w:rFonts w:ascii="Helvetica" w:eastAsia="Helvetica" w:hAnsi="Helvetica" w:cs="Helvetica"/>
          <w:sz w:val="22"/>
          <w:szCs w:val="22"/>
        </w:rPr>
        <w:t>labiausiai reikalingą</w:t>
      </w:r>
      <w:r w:rsidR="00662A93">
        <w:rPr>
          <w:rFonts w:ascii="Helvetica" w:eastAsia="Helvetica" w:hAnsi="Helvetica" w:cs="Helvetica"/>
          <w:sz w:val="22"/>
          <w:szCs w:val="22"/>
        </w:rPr>
        <w:t xml:space="preserve"> informaciją </w:t>
      </w:r>
      <w:r w:rsidR="00662A93" w:rsidRPr="00662A93">
        <w:rPr>
          <w:rFonts w:ascii="Helvetica" w:eastAsia="Helvetica" w:hAnsi="Helvetica" w:cs="Helvetica"/>
          <w:sz w:val="22"/>
          <w:szCs w:val="22"/>
        </w:rPr>
        <w:t xml:space="preserve">– nuo žemėlapių ir treniruočių duomenų iki sveikatos rodiklių </w:t>
      </w:r>
      <w:r w:rsidR="00662A93">
        <w:rPr>
          <w:rFonts w:ascii="Helvetica" w:eastAsia="Helvetica" w:hAnsi="Helvetica" w:cs="Helvetica"/>
          <w:sz w:val="22"/>
          <w:szCs w:val="22"/>
        </w:rPr>
        <w:t xml:space="preserve">ar pranešimų“, – sako </w:t>
      </w:r>
      <w:r w:rsidR="00662A93" w:rsidRPr="00662A93">
        <w:rPr>
          <w:rFonts w:ascii="Helvetica" w:eastAsia="Helvetica" w:hAnsi="Helvetica" w:cs="Helvetica"/>
          <w:sz w:val="22"/>
          <w:szCs w:val="22"/>
        </w:rPr>
        <w:t>„Garmin“ pardavimų ir rinkodaros viceprezidentė Susan Lyman.</w:t>
      </w:r>
    </w:p>
    <w:p w14:paraId="5D0E76AD" w14:textId="77777777" w:rsidR="00662A93" w:rsidRPr="004337C8" w:rsidRDefault="00662A93">
      <w:pPr>
        <w:pStyle w:val="Body"/>
        <w:jc w:val="both"/>
        <w:rPr>
          <w:rFonts w:ascii="Helvetica" w:eastAsia="Helvetica" w:hAnsi="Helvetica" w:cs="Helvetica"/>
          <w:sz w:val="22"/>
          <w:szCs w:val="22"/>
          <w:lang w:val="en-GB"/>
        </w:rPr>
      </w:pPr>
    </w:p>
    <w:p w14:paraId="6C04E038" w14:textId="145EFF71" w:rsidR="00FC53A0" w:rsidRDefault="00C4423C" w:rsidP="00BD36F6">
      <w:pPr>
        <w:pStyle w:val="Body"/>
        <w:jc w:val="both"/>
        <w:rPr>
          <w:rFonts w:ascii="Helvetica" w:hAnsi="Helvetica"/>
          <w:b/>
          <w:bCs/>
          <w:sz w:val="22"/>
          <w:szCs w:val="22"/>
        </w:rPr>
      </w:pPr>
      <w:r>
        <w:rPr>
          <w:rFonts w:ascii="Helvetica" w:hAnsi="Helvetica"/>
          <w:b/>
          <w:bCs/>
          <w:sz w:val="22"/>
          <w:szCs w:val="22"/>
        </w:rPr>
        <w:t>Sujungia stilių su pažangiausiomis technologijomis</w:t>
      </w:r>
    </w:p>
    <w:p w14:paraId="65030DD4" w14:textId="77777777" w:rsidR="007C0D94" w:rsidRDefault="007C0D94" w:rsidP="00BD36F6">
      <w:pPr>
        <w:pStyle w:val="Body"/>
        <w:jc w:val="both"/>
        <w:rPr>
          <w:rFonts w:ascii="Helvetica" w:hAnsi="Helvetica"/>
          <w:b/>
          <w:bCs/>
          <w:sz w:val="22"/>
          <w:szCs w:val="22"/>
        </w:rPr>
      </w:pPr>
    </w:p>
    <w:p w14:paraId="572BF514" w14:textId="0DBA717B" w:rsidR="00662A93" w:rsidRPr="00A87721" w:rsidRDefault="00662A93" w:rsidP="007C0D94">
      <w:pPr>
        <w:pStyle w:val="Body"/>
        <w:jc w:val="both"/>
        <w:rPr>
          <w:rFonts w:ascii="Helvetica" w:eastAsia="Helvetica" w:hAnsi="Helvetica" w:cs="Helvetica"/>
          <w:sz w:val="22"/>
          <w:szCs w:val="22"/>
        </w:rPr>
      </w:pPr>
      <w:r w:rsidRPr="00662A93">
        <w:rPr>
          <w:rFonts w:ascii="Helvetica" w:eastAsia="Helvetica" w:hAnsi="Helvetica" w:cs="Helvetica"/>
          <w:sz w:val="22"/>
          <w:szCs w:val="22"/>
        </w:rPr>
        <w:t>Naujasis „Venu X1“ išsiskiria įspūdingu 2 colių AMOLED ekranu, kuris leidžia dar patogiau matyti svarbiausius duomenis</w:t>
      </w:r>
      <w:r>
        <w:rPr>
          <w:rFonts w:ascii="Helvetica" w:eastAsia="Helvetica" w:hAnsi="Helvetica" w:cs="Helvetica"/>
          <w:sz w:val="22"/>
          <w:szCs w:val="22"/>
        </w:rPr>
        <w:t xml:space="preserve">. </w:t>
      </w:r>
      <w:r w:rsidRPr="00662A93">
        <w:rPr>
          <w:rFonts w:ascii="Helvetica" w:eastAsia="Helvetica" w:hAnsi="Helvetica" w:cs="Helvetica"/>
          <w:sz w:val="22"/>
          <w:szCs w:val="22"/>
        </w:rPr>
        <w:t xml:space="preserve">Didelis, ryškus ekranas užtikrina puikų matomumą net tiesioginiuose saulės spinduliuose, o galimybė keisti šrifto dydžius leidžia individualiai pritaikyti </w:t>
      </w:r>
      <w:r>
        <w:rPr>
          <w:rFonts w:ascii="Helvetica" w:eastAsia="Helvetica" w:hAnsi="Helvetica" w:cs="Helvetica"/>
          <w:sz w:val="22"/>
          <w:szCs w:val="22"/>
        </w:rPr>
        <w:t xml:space="preserve">informacijos prieinamumą </w:t>
      </w:r>
      <w:r w:rsidRPr="00662A93">
        <w:rPr>
          <w:rFonts w:ascii="Helvetica" w:eastAsia="Helvetica" w:hAnsi="Helvetica" w:cs="Helvetica"/>
          <w:sz w:val="22"/>
          <w:szCs w:val="22"/>
        </w:rPr>
        <w:t xml:space="preserve">pagal poreikį. </w:t>
      </w:r>
    </w:p>
    <w:p w14:paraId="6994D4F4" w14:textId="77777777" w:rsidR="00A87721" w:rsidRPr="00A87721" w:rsidRDefault="00A87721" w:rsidP="00E85CE8">
      <w:pPr>
        <w:pStyle w:val="Default"/>
        <w:jc w:val="both"/>
        <w:rPr>
          <w:rFonts w:ascii="Helvetica" w:eastAsia="Helvetica" w:hAnsi="Helvetica" w:cs="Helvetica"/>
          <w:sz w:val="22"/>
          <w:szCs w:val="22"/>
          <w:u w:color="000000"/>
        </w:rPr>
      </w:pPr>
      <w:r w:rsidRPr="00A87721">
        <w:rPr>
          <w:rFonts w:ascii="Helvetica" w:eastAsia="Helvetica" w:hAnsi="Helvetica" w:cs="Helvetica"/>
          <w:sz w:val="22"/>
          <w:szCs w:val="22"/>
          <w:u w:color="000000"/>
        </w:rPr>
        <w:t>Išmaniojo laikrodžio dizainas sukurtas taip, kad būtų patogu nešioti visą dieną. Lengva, bet itin tvirta titano nugarėlė ir įbrėžimams atsparus safyro stiklas užtikrina ilgaamžiškumą bei apsaugą nuo pažeidimų. Naudotojai taip pat gali individualiai pritaikyti ciferblatą – jame galima matyti svarbiausią informaciją realiuoju laiku: žingsnių skaičių, širdies ritmą, buvimo aukštį ar pasirengimą treniruotei.</w:t>
      </w:r>
    </w:p>
    <w:p w14:paraId="26ABD365" w14:textId="4C5F43AC" w:rsidR="00A87721" w:rsidRPr="00A87721" w:rsidRDefault="00A87721" w:rsidP="00E85CE8">
      <w:pPr>
        <w:pStyle w:val="Default"/>
        <w:jc w:val="both"/>
        <w:rPr>
          <w:rFonts w:ascii="Helvetica" w:eastAsia="Helvetica" w:hAnsi="Helvetica" w:cs="Helvetica"/>
          <w:sz w:val="22"/>
          <w:szCs w:val="22"/>
          <w:u w:color="000000"/>
        </w:rPr>
      </w:pPr>
      <w:r w:rsidRPr="00A87721">
        <w:rPr>
          <w:rFonts w:ascii="Helvetica" w:eastAsia="Helvetica" w:hAnsi="Helvetica" w:cs="Helvetica"/>
          <w:sz w:val="22"/>
          <w:szCs w:val="22"/>
          <w:u w:color="000000"/>
        </w:rPr>
        <w:t>Tam, kad</w:t>
      </w:r>
      <w:r w:rsidR="00662A93" w:rsidRPr="00A87721">
        <w:rPr>
          <w:rFonts w:ascii="Helvetica" w:eastAsia="Helvetica" w:hAnsi="Helvetica" w:cs="Helvetica"/>
          <w:sz w:val="22"/>
          <w:szCs w:val="22"/>
          <w:u w:color="000000"/>
        </w:rPr>
        <w:t xml:space="preserve"> </w:t>
      </w:r>
      <w:r w:rsidRPr="00A87721">
        <w:rPr>
          <w:rFonts w:ascii="Helvetica" w:eastAsia="Helvetica" w:hAnsi="Helvetica" w:cs="Helvetica"/>
          <w:sz w:val="22"/>
          <w:szCs w:val="22"/>
          <w:u w:color="000000"/>
        </w:rPr>
        <w:t>laikrodis būtų ne tik funkcionalus, bet ir patogus, komplekte yra 24 mm „ComfortFit“ nailoninis dirželis, užtikrinantis patogų ir stabilų prigludimą visą parą. „Venu X1“ galima rinktis iš dviejų populiarių spalvų – klasikinės juodos ir saman</w:t>
      </w:r>
      <w:r w:rsidR="007F3EF4">
        <w:rPr>
          <w:rFonts w:ascii="Helvetica" w:eastAsia="Helvetica" w:hAnsi="Helvetica" w:cs="Helvetica"/>
          <w:sz w:val="22"/>
          <w:szCs w:val="22"/>
          <w:u w:color="000000"/>
        </w:rPr>
        <w:t>ų žalios</w:t>
      </w:r>
      <w:r w:rsidRPr="00A87721">
        <w:rPr>
          <w:rFonts w:ascii="Helvetica" w:eastAsia="Helvetica" w:hAnsi="Helvetica" w:cs="Helvetica"/>
          <w:sz w:val="22"/>
          <w:szCs w:val="22"/>
          <w:u w:color="000000"/>
        </w:rPr>
        <w:t>, tad jis puikiai dera tiek prie sportinio, tiek prie kasdienio stiliaus.</w:t>
      </w:r>
    </w:p>
    <w:p w14:paraId="41148385" w14:textId="28D97FDE" w:rsidR="003F489A" w:rsidRDefault="00662A93" w:rsidP="00E85CE8">
      <w:pPr>
        <w:pStyle w:val="Default"/>
        <w:jc w:val="both"/>
        <w:rPr>
          <w:rFonts w:ascii="Helvetica" w:hAnsi="Helvetica"/>
          <w:b/>
          <w:bCs/>
          <w:sz w:val="22"/>
          <w:szCs w:val="22"/>
          <w:shd w:val="clear" w:color="auto" w:fill="FFFFFF"/>
        </w:rPr>
      </w:pPr>
      <w:r>
        <w:rPr>
          <w:rFonts w:ascii="Helvetica" w:hAnsi="Helvetica"/>
          <w:b/>
          <w:bCs/>
          <w:sz w:val="22"/>
          <w:szCs w:val="22"/>
          <w:shd w:val="clear" w:color="auto" w:fill="FFFFFF"/>
        </w:rPr>
        <w:t>Pritaikytas įvairioms situacijoms</w:t>
      </w:r>
    </w:p>
    <w:p w14:paraId="0EEB9326" w14:textId="25075584" w:rsidR="00F04D31" w:rsidRPr="00F04D31" w:rsidRDefault="00F04D31" w:rsidP="00F04D31">
      <w:pPr>
        <w:pStyle w:val="Default"/>
        <w:jc w:val="both"/>
        <w:rPr>
          <w:rFonts w:ascii="Helvetica" w:hAnsi="Helvetica"/>
          <w:sz w:val="22"/>
          <w:szCs w:val="22"/>
          <w:shd w:val="clear" w:color="auto" w:fill="FFFFFF"/>
        </w:rPr>
      </w:pPr>
      <w:r w:rsidRPr="00F04D31">
        <w:rPr>
          <w:rFonts w:ascii="Helvetica" w:hAnsi="Helvetica"/>
          <w:sz w:val="22"/>
          <w:szCs w:val="22"/>
          <w:shd w:val="clear" w:color="auto" w:fill="FFFFFF"/>
        </w:rPr>
        <w:t xml:space="preserve">„Venu X1“ sukurtas tam, kad </w:t>
      </w:r>
      <w:r>
        <w:rPr>
          <w:rFonts w:ascii="Helvetica" w:hAnsi="Helvetica"/>
          <w:sz w:val="22"/>
          <w:szCs w:val="22"/>
          <w:shd w:val="clear" w:color="auto" w:fill="FFFFFF"/>
        </w:rPr>
        <w:t xml:space="preserve">lydėtų naudotojus kiekviename žingsnyje – </w:t>
      </w:r>
      <w:r w:rsidRPr="00F04D31">
        <w:rPr>
          <w:rFonts w:ascii="Helvetica" w:hAnsi="Helvetica"/>
          <w:sz w:val="22"/>
          <w:szCs w:val="22"/>
          <w:shd w:val="clear" w:color="auto" w:fill="FFFFFF"/>
        </w:rPr>
        <w:t xml:space="preserve">nuo ankstyvo ryto iki vėlyvo vakaro. Laikrodyje integruotas ryškus LED žibintuvėlis padeda lengviau orientuotis </w:t>
      </w:r>
      <w:r>
        <w:rPr>
          <w:rFonts w:ascii="Helvetica" w:hAnsi="Helvetica"/>
          <w:sz w:val="22"/>
          <w:szCs w:val="22"/>
          <w:shd w:val="clear" w:color="auto" w:fill="FFFFFF"/>
        </w:rPr>
        <w:t>esant</w:t>
      </w:r>
      <w:r w:rsidR="0022335A">
        <w:rPr>
          <w:rFonts w:ascii="Helvetica" w:hAnsi="Helvetica"/>
          <w:sz w:val="22"/>
          <w:szCs w:val="22"/>
          <w:shd w:val="clear" w:color="auto" w:fill="FFFFFF"/>
        </w:rPr>
        <w:t xml:space="preserve"> </w:t>
      </w:r>
      <w:r>
        <w:rPr>
          <w:rFonts w:ascii="Helvetica" w:hAnsi="Helvetica"/>
          <w:sz w:val="22"/>
          <w:szCs w:val="22"/>
          <w:shd w:val="clear" w:color="auto" w:fill="FFFFFF"/>
        </w:rPr>
        <w:t xml:space="preserve">prastam apšvietimui, </w:t>
      </w:r>
      <w:r w:rsidRPr="00F04D31">
        <w:rPr>
          <w:rFonts w:ascii="Helvetica" w:hAnsi="Helvetica"/>
          <w:sz w:val="22"/>
          <w:szCs w:val="22"/>
          <w:shd w:val="clear" w:color="auto" w:fill="FFFFFF"/>
        </w:rPr>
        <w:t>o įmontuot</w:t>
      </w:r>
      <w:r>
        <w:rPr>
          <w:rFonts w:ascii="Helvetica" w:hAnsi="Helvetica"/>
          <w:sz w:val="22"/>
          <w:szCs w:val="22"/>
          <w:shd w:val="clear" w:color="auto" w:fill="FFFFFF"/>
        </w:rPr>
        <w:t xml:space="preserve">as </w:t>
      </w:r>
      <w:r w:rsidRPr="00F04D31">
        <w:rPr>
          <w:rFonts w:ascii="Helvetica" w:hAnsi="Helvetica"/>
          <w:sz w:val="22"/>
          <w:szCs w:val="22"/>
          <w:shd w:val="clear" w:color="auto" w:fill="FFFFFF"/>
        </w:rPr>
        <w:t xml:space="preserve">garsiakalbis ir mikrofonas </w:t>
      </w:r>
      <w:r w:rsidR="004337C8">
        <w:rPr>
          <w:rFonts w:ascii="Helvetica" w:hAnsi="Helvetica"/>
          <w:sz w:val="22"/>
          <w:szCs w:val="22"/>
          <w:shd w:val="clear" w:color="auto" w:fill="FFFFFF"/>
        </w:rPr>
        <w:t>suteikia galimybę</w:t>
      </w:r>
      <w:r w:rsidRPr="00F04D31">
        <w:rPr>
          <w:rFonts w:ascii="Helvetica" w:hAnsi="Helvetica"/>
          <w:sz w:val="22"/>
          <w:szCs w:val="22"/>
          <w:shd w:val="clear" w:color="auto" w:fill="FFFFFF"/>
        </w:rPr>
        <w:t xml:space="preserve"> skambinti ir atsiliepti į skambučius </w:t>
      </w:r>
      <w:r>
        <w:rPr>
          <w:rFonts w:ascii="Helvetica" w:hAnsi="Helvetica"/>
          <w:sz w:val="22"/>
          <w:szCs w:val="22"/>
          <w:shd w:val="clear" w:color="auto" w:fill="FFFFFF"/>
        </w:rPr>
        <w:t xml:space="preserve">itin patogiai. „Venu X1“ taip pat veikia balso asistento funkcija, kuri leidžia įrenginį valdyti balsu, pavyzdžiui, </w:t>
      </w:r>
      <w:r w:rsidRPr="00F04D31">
        <w:rPr>
          <w:rFonts w:ascii="Helvetica" w:hAnsi="Helvetica"/>
          <w:sz w:val="22"/>
          <w:szCs w:val="22"/>
          <w:shd w:val="clear" w:color="auto" w:fill="FFFFFF"/>
        </w:rPr>
        <w:t xml:space="preserve">paprašyti pradėti </w:t>
      </w:r>
      <w:r>
        <w:rPr>
          <w:rFonts w:ascii="Helvetica" w:hAnsi="Helvetica"/>
          <w:sz w:val="22"/>
          <w:szCs w:val="22"/>
          <w:shd w:val="clear" w:color="auto" w:fill="FFFFFF"/>
        </w:rPr>
        <w:t xml:space="preserve">treniruotę </w:t>
      </w:r>
      <w:r w:rsidRPr="00F04D31">
        <w:rPr>
          <w:rFonts w:ascii="Helvetica" w:hAnsi="Helvetica"/>
          <w:sz w:val="22"/>
          <w:szCs w:val="22"/>
          <w:shd w:val="clear" w:color="auto" w:fill="FFFFFF"/>
        </w:rPr>
        <w:t>ar nustatyti laikmatį</w:t>
      </w:r>
      <w:r>
        <w:rPr>
          <w:rFonts w:ascii="Helvetica" w:hAnsi="Helvetica"/>
          <w:sz w:val="22"/>
          <w:szCs w:val="22"/>
          <w:shd w:val="clear" w:color="auto" w:fill="FFFFFF"/>
        </w:rPr>
        <w:t xml:space="preserve"> </w:t>
      </w:r>
      <w:r w:rsidRPr="00F04D31">
        <w:rPr>
          <w:rFonts w:ascii="Helvetica" w:hAnsi="Helvetica"/>
          <w:sz w:val="22"/>
          <w:szCs w:val="22"/>
          <w:shd w:val="clear" w:color="auto" w:fill="FFFFFF"/>
        </w:rPr>
        <w:t xml:space="preserve">net </w:t>
      </w:r>
      <w:r w:rsidR="0022335A">
        <w:rPr>
          <w:rFonts w:ascii="Helvetica" w:hAnsi="Helvetica"/>
          <w:sz w:val="22"/>
          <w:szCs w:val="22"/>
          <w:shd w:val="clear" w:color="auto" w:fill="FFFFFF"/>
        </w:rPr>
        <w:t>be telefono ryšio.</w:t>
      </w:r>
    </w:p>
    <w:p w14:paraId="4889C2A9" w14:textId="77777777" w:rsidR="00BF0094" w:rsidRPr="00BF0094" w:rsidRDefault="00BF0094" w:rsidP="00BF0094">
      <w:pPr>
        <w:pStyle w:val="Default"/>
        <w:jc w:val="both"/>
        <w:rPr>
          <w:rFonts w:ascii="Helvetica" w:hAnsi="Helvetica"/>
          <w:sz w:val="22"/>
          <w:szCs w:val="22"/>
          <w:shd w:val="clear" w:color="auto" w:fill="FFFFFF"/>
        </w:rPr>
      </w:pPr>
      <w:r w:rsidRPr="00BF0094">
        <w:rPr>
          <w:rFonts w:ascii="Helvetica" w:hAnsi="Helvetica"/>
          <w:sz w:val="22"/>
          <w:szCs w:val="22"/>
          <w:shd w:val="clear" w:color="auto" w:fill="FFFFFF"/>
        </w:rPr>
        <w:t>Naujasis „Garmin“ išmanusis laikrodis pasirodys prekyboje jau birželio 18 dieną. Jo kaina prasidės nuo 799,99 Eur.</w:t>
      </w:r>
    </w:p>
    <w:p w14:paraId="65749795" w14:textId="77777777" w:rsidR="00FF5BD9" w:rsidRDefault="00BF0094" w:rsidP="00BF0094">
      <w:pPr>
        <w:pStyle w:val="Default"/>
        <w:jc w:val="both"/>
        <w:rPr>
          <w:rFonts w:ascii="Helvetica" w:hAnsi="Helvetica"/>
          <w:sz w:val="22"/>
          <w:szCs w:val="22"/>
          <w:shd w:val="clear" w:color="auto" w:fill="FFFFFF"/>
        </w:rPr>
      </w:pPr>
      <w:r w:rsidRPr="00BF0094">
        <w:rPr>
          <w:rFonts w:ascii="Helvetica" w:hAnsi="Helvetica"/>
          <w:sz w:val="22"/>
          <w:szCs w:val="22"/>
          <w:shd w:val="clear" w:color="auto" w:fill="FFFFFF"/>
        </w:rPr>
        <w:t>Šis modelis siūlo platų funkcijų spektrą – nuo pažangių sveikatingumo ir sporto režimų iki išmaniųjų funkcijų bei sprendimų aktyviam laisvalaikiui gamtoje.</w:t>
      </w:r>
    </w:p>
    <w:p w14:paraId="0E2C8622" w14:textId="63B30285" w:rsidR="00BF0094" w:rsidRDefault="00BF0094" w:rsidP="00BF0094">
      <w:pPr>
        <w:pStyle w:val="Default"/>
        <w:jc w:val="both"/>
        <w:rPr>
          <w:rFonts w:ascii="Helvetica" w:hAnsi="Helvetica"/>
          <w:sz w:val="22"/>
          <w:szCs w:val="22"/>
          <w:shd w:val="clear" w:color="auto" w:fill="FFFFFF"/>
        </w:rPr>
      </w:pPr>
      <w:r w:rsidRPr="00BF0094">
        <w:rPr>
          <w:rFonts w:ascii="Helvetica" w:hAnsi="Helvetica"/>
          <w:sz w:val="22"/>
          <w:szCs w:val="22"/>
          <w:shd w:val="clear" w:color="auto" w:fill="FFFFFF"/>
        </w:rPr>
        <w:lastRenderedPageBreak/>
        <w:t xml:space="preserve">Daugiau informacijos apie šio laikrodžio galimybes rasite oficialioje „Garmin“ svetainėje: </w:t>
      </w:r>
      <w:hyperlink r:id="rId8" w:tgtFrame="_new" w:history="1">
        <w:r w:rsidRPr="00BF0094">
          <w:rPr>
            <w:rStyle w:val="Hyperlink"/>
            <w:rFonts w:ascii="Helvetica" w:hAnsi="Helvetica"/>
            <w:sz w:val="22"/>
            <w:szCs w:val="22"/>
            <w:shd w:val="clear" w:color="auto" w:fill="FFFFFF"/>
          </w:rPr>
          <w:t>garmin.com/lt-LT</w:t>
        </w:r>
      </w:hyperlink>
      <w:r w:rsidRPr="00BF0094">
        <w:rPr>
          <w:rFonts w:ascii="Helvetica" w:hAnsi="Helvetica"/>
          <w:sz w:val="22"/>
          <w:szCs w:val="22"/>
          <w:shd w:val="clear" w:color="auto" w:fill="FFFFFF"/>
        </w:rPr>
        <w:t>.</w:t>
      </w:r>
    </w:p>
    <w:p w14:paraId="6767BCE9" w14:textId="77777777" w:rsidR="00AF70C5" w:rsidRDefault="00AF70C5" w:rsidP="00BF0094">
      <w:pPr>
        <w:pStyle w:val="Default"/>
        <w:jc w:val="both"/>
        <w:rPr>
          <w:rFonts w:ascii="Helvetica" w:hAnsi="Helvetica"/>
          <w:sz w:val="22"/>
          <w:szCs w:val="22"/>
          <w:shd w:val="clear" w:color="auto" w:fill="FFFFFF"/>
        </w:rPr>
      </w:pPr>
    </w:p>
    <w:p w14:paraId="67E7BA0F" w14:textId="1E8C79E2" w:rsidR="0023516D" w:rsidRPr="00BF0094" w:rsidRDefault="00D314E0" w:rsidP="00BF0094">
      <w:pPr>
        <w:pStyle w:val="Default"/>
        <w:jc w:val="both"/>
        <w:rPr>
          <w:rFonts w:ascii="Helvetica" w:hAnsi="Helvetica"/>
          <w:sz w:val="22"/>
          <w:szCs w:val="22"/>
          <w:shd w:val="clear" w:color="auto" w:fill="FFFFFF"/>
        </w:rPr>
      </w:pPr>
      <w:r w:rsidRPr="0022335A">
        <w:rPr>
          <w:rStyle w:val="Strong"/>
          <w:rFonts w:asciiTheme="minorHAnsi" w:hAnsiTheme="minorHAnsi" w:cs="Helvetica"/>
          <w:sz w:val="18"/>
          <w:szCs w:val="18"/>
        </w:rPr>
        <w:t>Apie „Garmin International, Inc.“</w:t>
      </w:r>
      <w:r w:rsidRPr="0022335A">
        <w:rPr>
          <w:rFonts w:asciiTheme="minorHAnsi" w:hAnsiTheme="minorHAnsi" w:cs="Helvetica"/>
          <w:sz w:val="18"/>
          <w:szCs w:val="18"/>
        </w:rPr>
        <w:t>: „Garmin International, Inc.“ yra „Garmin Ltd.“ (NYSE: GRMN) dukterinė įmonė. „Garmin Ltd.“ yra registruota Šveicarijoje, o pagrindinės jos dukterinės įmonės įsikūrusios Jungtinėse Amerikos Valstijose, Taivane ir Jungtinėje Karalystėje. „Garmin“ ir „Edge“ yra registruotieji prekių ženklai, o „Tacx Training“ yra „Garmin Ltd.“ arba jos dukterinių įmonių prekių ženklas.</w:t>
      </w:r>
    </w:p>
    <w:p w14:paraId="1E05969E" w14:textId="77777777" w:rsidR="0023516D" w:rsidRPr="0022335A" w:rsidRDefault="0060567A" w:rsidP="00D314E0">
      <w:pPr>
        <w:pStyle w:val="NormalWeb"/>
        <w:contextualSpacing/>
        <w:jc w:val="both"/>
        <w:rPr>
          <w:rFonts w:asciiTheme="minorHAnsi" w:hAnsiTheme="minorHAnsi" w:cs="Helvetica"/>
          <w:sz w:val="18"/>
          <w:szCs w:val="18"/>
          <w:lang w:val="lt-LT"/>
        </w:rPr>
      </w:pPr>
      <w:r w:rsidRPr="0022335A">
        <w:rPr>
          <w:rFonts w:asciiTheme="minorHAnsi" w:hAnsiTheme="minorHAnsi" w:cs="Helvetica"/>
          <w:sz w:val="18"/>
          <w:szCs w:val="18"/>
          <w:lang w:val="lt-LT"/>
        </w:rPr>
        <w:t xml:space="preserve"> </w:t>
      </w:r>
    </w:p>
    <w:p w14:paraId="469B6E7A" w14:textId="3FD9B51B" w:rsidR="00D314E0" w:rsidRPr="0022335A" w:rsidRDefault="00D314E0" w:rsidP="00D314E0">
      <w:pPr>
        <w:pStyle w:val="NormalWeb"/>
        <w:contextualSpacing/>
        <w:jc w:val="both"/>
        <w:rPr>
          <w:rFonts w:asciiTheme="minorHAnsi" w:hAnsiTheme="minorHAnsi" w:cs="Helvetica"/>
          <w:sz w:val="18"/>
          <w:szCs w:val="18"/>
          <w:lang w:val="lt-LT"/>
        </w:rPr>
      </w:pPr>
      <w:r w:rsidRPr="0022335A">
        <w:rPr>
          <w:rFonts w:asciiTheme="minorHAnsi" w:hAnsiTheme="minorHAnsi" w:cs="Helvetica"/>
          <w:sz w:val="18"/>
          <w:szCs w:val="18"/>
          <w:lang w:val="lt-LT"/>
        </w:rPr>
        <w:t>Visi kiti prekių ženklai, produktų pavadinimai, įmonių pavadinimai, prekių ir paslaugų ženklai priklauso jų teisėtiems savininkams. Visos teisės saugomos.</w:t>
      </w:r>
    </w:p>
    <w:p w14:paraId="31060A71" w14:textId="77777777" w:rsidR="0060567A" w:rsidRPr="0022335A" w:rsidRDefault="0060567A" w:rsidP="00D314E0">
      <w:pPr>
        <w:pStyle w:val="NormalWeb"/>
        <w:contextualSpacing/>
        <w:jc w:val="both"/>
        <w:rPr>
          <w:rFonts w:asciiTheme="minorHAnsi" w:hAnsiTheme="minorHAnsi" w:cs="Helvetica"/>
          <w:sz w:val="18"/>
          <w:szCs w:val="18"/>
          <w:lang w:val="lt-LT"/>
        </w:rPr>
      </w:pPr>
    </w:p>
    <w:p w14:paraId="53EA201A" w14:textId="77777777" w:rsidR="00D314E0" w:rsidRPr="0022335A" w:rsidRDefault="00D314E0" w:rsidP="00D314E0">
      <w:pPr>
        <w:pStyle w:val="NormalWeb"/>
        <w:contextualSpacing/>
        <w:jc w:val="both"/>
        <w:rPr>
          <w:rStyle w:val="Strong"/>
          <w:rFonts w:asciiTheme="minorHAnsi" w:hAnsiTheme="minorHAnsi" w:cs="Helvetica"/>
          <w:sz w:val="18"/>
          <w:szCs w:val="18"/>
          <w:lang w:val="lt-LT"/>
        </w:rPr>
      </w:pPr>
      <w:r w:rsidRPr="0022335A">
        <w:rPr>
          <w:rStyle w:val="Strong"/>
          <w:rFonts w:asciiTheme="minorHAnsi" w:hAnsiTheme="minorHAnsi" w:cs="Helvetica"/>
          <w:sz w:val="18"/>
          <w:szCs w:val="18"/>
          <w:lang w:val="lt-LT"/>
        </w:rPr>
        <w:t>Pranešimas apie perspektyvinius teiginius:</w:t>
      </w:r>
    </w:p>
    <w:p w14:paraId="792DE71A" w14:textId="77777777" w:rsidR="00820009" w:rsidRPr="0022335A" w:rsidRDefault="00820009" w:rsidP="00D314E0">
      <w:pPr>
        <w:pStyle w:val="NormalWeb"/>
        <w:contextualSpacing/>
        <w:jc w:val="both"/>
        <w:rPr>
          <w:rFonts w:asciiTheme="minorHAnsi" w:hAnsiTheme="minorHAnsi" w:cs="Helvetica"/>
          <w:sz w:val="18"/>
          <w:szCs w:val="18"/>
          <w:lang w:val="lt-LT"/>
        </w:rPr>
      </w:pPr>
    </w:p>
    <w:p w14:paraId="57DE60DB" w14:textId="5215BF23" w:rsidR="00D314E0" w:rsidRPr="0022335A" w:rsidRDefault="00D314E0" w:rsidP="00D314E0">
      <w:pPr>
        <w:pStyle w:val="NormalWeb"/>
        <w:contextualSpacing/>
        <w:jc w:val="both"/>
        <w:rPr>
          <w:rFonts w:asciiTheme="minorHAnsi" w:hAnsiTheme="minorHAnsi" w:cs="Helvetica"/>
          <w:sz w:val="18"/>
          <w:szCs w:val="18"/>
          <w:lang w:val="lt-LT"/>
        </w:rPr>
      </w:pPr>
      <w:r w:rsidRPr="0022335A">
        <w:rPr>
          <w:rFonts w:asciiTheme="minorHAnsi" w:hAnsiTheme="minorHAnsi" w:cs="Helvetica"/>
          <w:sz w:val="18"/>
          <w:szCs w:val="18"/>
          <w:lang w:val="lt-LT"/>
        </w:rPr>
        <w:t xml:space="preserve">Šis pranešimas apima perspektyvinius teiginius apie „Garmin Ltd.“ ir jos veiklą. Tokie teiginiai grindžiami vadovybės dabartiniais lūkesčiais. Šiame pranešime aptarti perspektyviniai įvykiai ir aplinkybės gali neįvykti, o realūs rezultatai gali reikšmingai skirtis dėl žinomų ir nežinomų rizikos veiksnių bei neapibrėžtumų, turinčių įtakos „Garmin“, įskaitant, bet neapsiribojant, rizikos veiksniais, išvardytais 2023 m. gruodžio 30 d. metinėje ataskaitoje „Form 10-K“, kurią „Garmin“ pateikė Vertybinių popierių ir biržų komisijai (bylos numeris 0001-411180). Šios ataskaitos kopiją galima rasti adresu </w:t>
      </w:r>
      <w:hyperlink r:id="rId9" w:history="1">
        <w:r w:rsidRPr="0022335A">
          <w:rPr>
            <w:rStyle w:val="Hyperlink"/>
            <w:rFonts w:asciiTheme="minorHAnsi" w:hAnsiTheme="minorHAnsi" w:cs="Helvetica"/>
            <w:sz w:val="18"/>
            <w:szCs w:val="18"/>
            <w:lang w:val="lt-LT"/>
          </w:rPr>
          <w:t>http://www.garmin.com/aboutGarmin/invRelations/finReports.html</w:t>
        </w:r>
      </w:hyperlink>
      <w:r w:rsidR="00E4486A" w:rsidRPr="0022335A">
        <w:rPr>
          <w:rFonts w:asciiTheme="minorHAnsi" w:hAnsiTheme="minorHAnsi"/>
          <w:sz w:val="18"/>
          <w:szCs w:val="18"/>
          <w:lang w:val="pl-PL"/>
        </w:rPr>
        <w:t xml:space="preserve"> </w:t>
      </w:r>
    </w:p>
    <w:p w14:paraId="70B06BF8" w14:textId="77777777" w:rsidR="00820009" w:rsidRPr="0022335A" w:rsidRDefault="00820009" w:rsidP="00D314E0">
      <w:pPr>
        <w:pStyle w:val="NormalWeb"/>
        <w:contextualSpacing/>
        <w:jc w:val="both"/>
        <w:rPr>
          <w:rFonts w:asciiTheme="minorHAnsi" w:hAnsiTheme="minorHAnsi" w:cs="Helvetica"/>
          <w:sz w:val="18"/>
          <w:szCs w:val="18"/>
          <w:lang w:val="lt-LT"/>
        </w:rPr>
      </w:pPr>
    </w:p>
    <w:p w14:paraId="21C6BD8F" w14:textId="6062DDE8" w:rsidR="00AF70C5" w:rsidRDefault="00D314E0" w:rsidP="00D314E0">
      <w:pPr>
        <w:pStyle w:val="NormalWeb"/>
        <w:contextualSpacing/>
        <w:jc w:val="both"/>
        <w:rPr>
          <w:rFonts w:asciiTheme="minorHAnsi" w:hAnsiTheme="minorHAnsi" w:cs="Helvetica"/>
          <w:sz w:val="18"/>
          <w:szCs w:val="18"/>
          <w:lang w:val="lt-LT"/>
        </w:rPr>
      </w:pPr>
      <w:r w:rsidRPr="0022335A">
        <w:rPr>
          <w:rFonts w:asciiTheme="minorHAnsi" w:hAnsiTheme="minorHAnsi" w:cs="Helvetica"/>
          <w:sz w:val="18"/>
          <w:szCs w:val="18"/>
          <w:lang w:val="lt-LT"/>
        </w:rPr>
        <w:t>Joks perspektyvinis teiginys nėra garantuotas. Perspektyviniai teiginiai atspindi tik jų paskelbimo datą, o „Garmin“ neprisiima įsipareigojimo viešai atnaujinti ar tikslinti jokio perspektyvinio teiginio, nesvarbu, ar tai būtų padaryta gavus naujos informacijos, dėl ateities įvykių ar kitų priežasčių.</w:t>
      </w:r>
    </w:p>
    <w:p w14:paraId="1AAE8108" w14:textId="77777777" w:rsidR="00AF70C5" w:rsidRDefault="00AF70C5" w:rsidP="00D314E0">
      <w:pPr>
        <w:pStyle w:val="NormalWeb"/>
        <w:contextualSpacing/>
        <w:jc w:val="both"/>
        <w:rPr>
          <w:rFonts w:asciiTheme="minorHAnsi" w:hAnsiTheme="minorHAnsi" w:cs="Helvetica"/>
          <w:sz w:val="18"/>
          <w:szCs w:val="18"/>
          <w:lang w:val="lt-LT"/>
        </w:rPr>
      </w:pPr>
    </w:p>
    <w:p w14:paraId="07E828A1" w14:textId="77777777" w:rsidR="00AF70C5" w:rsidRPr="00AF70C5" w:rsidRDefault="00AF70C5" w:rsidP="00D314E0">
      <w:pPr>
        <w:pStyle w:val="NormalWeb"/>
        <w:contextualSpacing/>
        <w:jc w:val="both"/>
        <w:rPr>
          <w:rFonts w:asciiTheme="minorHAnsi" w:hAnsiTheme="minorHAnsi" w:cs="Helvetica"/>
          <w:sz w:val="18"/>
          <w:szCs w:val="18"/>
          <w:lang w:val="lt-LT"/>
        </w:rPr>
      </w:pPr>
    </w:p>
    <w:p w14:paraId="0263B44A" w14:textId="77777777" w:rsidR="00D314E0" w:rsidRDefault="00D314E0" w:rsidP="00D314E0">
      <w:pPr>
        <w:pStyle w:val="NormalWeb"/>
        <w:contextualSpacing/>
        <w:jc w:val="both"/>
        <w:rPr>
          <w:rFonts w:ascii="Helvetica" w:hAnsi="Helvetica" w:cs="Helvetica"/>
          <w:b/>
          <w:bCs/>
          <w:sz w:val="22"/>
          <w:szCs w:val="22"/>
          <w:lang w:val="lt-LT"/>
        </w:rPr>
      </w:pPr>
      <w:r>
        <w:rPr>
          <w:rFonts w:ascii="Helvetica" w:hAnsi="Helvetica" w:cs="Helvetica"/>
          <w:b/>
          <w:bCs/>
          <w:sz w:val="22"/>
          <w:szCs w:val="22"/>
          <w:lang w:val="lt-LT"/>
        </w:rPr>
        <w:t>Daugiau informacijos:</w:t>
      </w:r>
    </w:p>
    <w:p w14:paraId="413544A0" w14:textId="77C5BE8F" w:rsidR="00D314E0" w:rsidRDefault="00D314E0" w:rsidP="00D314E0">
      <w:pPr>
        <w:pStyle w:val="NormalWeb"/>
        <w:contextualSpacing/>
        <w:rPr>
          <w:rFonts w:ascii="Helvetica" w:hAnsi="Helvetica" w:cs="Helvetica"/>
          <w:sz w:val="22"/>
          <w:szCs w:val="22"/>
          <w:lang w:val="lt-LT"/>
        </w:rPr>
      </w:pPr>
      <w:r w:rsidRPr="00D314E0">
        <w:rPr>
          <w:rFonts w:ascii="Helvetica" w:hAnsi="Helvetica" w:cs="Helvetica"/>
          <w:sz w:val="22"/>
          <w:szCs w:val="22"/>
          <w:lang w:val="lt-LT"/>
        </w:rPr>
        <w:t>Kamilė Augėnaitė</w:t>
      </w:r>
      <w:r w:rsidRPr="00D314E0">
        <w:rPr>
          <w:rFonts w:ascii="Helvetica" w:hAnsi="Helvetica" w:cs="Helvetica"/>
          <w:sz w:val="22"/>
          <w:szCs w:val="22"/>
          <w:lang w:val="lt-LT"/>
        </w:rPr>
        <w:br/>
      </w:r>
      <w:r w:rsidR="005F596A">
        <w:rPr>
          <w:rFonts w:ascii="Helvetica" w:hAnsi="Helvetica" w:cs="Helvetica"/>
          <w:sz w:val="22"/>
          <w:szCs w:val="22"/>
          <w:lang w:val="lt-LT"/>
        </w:rPr>
        <w:t>P</w:t>
      </w:r>
      <w:r w:rsidRPr="00D314E0">
        <w:rPr>
          <w:rFonts w:ascii="Helvetica" w:hAnsi="Helvetica" w:cs="Helvetica"/>
          <w:sz w:val="22"/>
          <w:szCs w:val="22"/>
          <w:lang w:val="lt-LT"/>
        </w:rPr>
        <w:t>rojektų vadovė</w:t>
      </w:r>
      <w:r w:rsidRPr="00D314E0">
        <w:rPr>
          <w:rFonts w:ascii="Helvetica" w:hAnsi="Helvetica" w:cs="Helvetica"/>
          <w:sz w:val="22"/>
          <w:szCs w:val="22"/>
          <w:lang w:val="lt-LT"/>
        </w:rPr>
        <w:br/>
        <w:t>Komunikacijos agentūra co:agency</w:t>
      </w:r>
      <w:r w:rsidRPr="00D314E0">
        <w:rPr>
          <w:rFonts w:ascii="Helvetica" w:hAnsi="Helvetica" w:cs="Helvetica"/>
          <w:sz w:val="22"/>
          <w:szCs w:val="22"/>
          <w:lang w:val="lt-LT"/>
        </w:rPr>
        <w:br/>
        <w:t xml:space="preserve">Tel. </w:t>
      </w:r>
      <w:r w:rsidRPr="00D314E0">
        <w:rPr>
          <w:rFonts w:ascii="Helvetica" w:hAnsi="Helvetica" w:cs="Helvetica"/>
          <w:sz w:val="22"/>
          <w:szCs w:val="22"/>
        </w:rPr>
        <w:t>+370 6 114 2737</w:t>
      </w:r>
      <w:r w:rsidRPr="00D314E0">
        <w:rPr>
          <w:rFonts w:ascii="Helvetica" w:hAnsi="Helvetica" w:cs="Helvetica"/>
          <w:sz w:val="22"/>
          <w:szCs w:val="22"/>
        </w:rPr>
        <w:br/>
      </w:r>
      <w:hyperlink r:id="rId10" w:history="1">
        <w:r w:rsidRPr="00D314E0">
          <w:rPr>
            <w:rStyle w:val="Hyperlink"/>
            <w:rFonts w:ascii="Helvetica" w:hAnsi="Helvetica" w:cs="Helvetica"/>
            <w:color w:val="2E74B5" w:themeColor="accent5" w:themeShade="BF"/>
            <w:sz w:val="22"/>
            <w:szCs w:val="22"/>
          </w:rPr>
          <w:t>kamile.a@cogency.lt</w:t>
        </w:r>
      </w:hyperlink>
    </w:p>
    <w:p w14:paraId="06D34A79" w14:textId="77777777" w:rsidR="00D45890" w:rsidRPr="00D45890" w:rsidRDefault="00D45890">
      <w:pPr>
        <w:pStyle w:val="Default"/>
        <w:spacing w:before="0"/>
        <w:jc w:val="both"/>
        <w:rPr>
          <w:rStyle w:val="None"/>
          <w:rFonts w:ascii="Times Roman" w:eastAsia="Times Roman" w:hAnsi="Times Roman" w:cs="Times Roman"/>
        </w:rPr>
      </w:pPr>
    </w:p>
    <w:p w14:paraId="2BBE1B0E" w14:textId="77777777" w:rsidR="00FC53A0" w:rsidRPr="00D45890" w:rsidRDefault="00FC53A0">
      <w:pPr>
        <w:pStyle w:val="Default"/>
        <w:spacing w:before="0"/>
        <w:jc w:val="both"/>
        <w:rPr>
          <w:rFonts w:ascii="Arial" w:eastAsia="Arial" w:hAnsi="Arial" w:cs="Arial"/>
          <w:sz w:val="31"/>
          <w:szCs w:val="31"/>
          <w:shd w:val="clear" w:color="auto" w:fill="FFFFFF"/>
        </w:rPr>
      </w:pPr>
    </w:p>
    <w:p w14:paraId="3720B15E" w14:textId="77777777" w:rsidR="00FC53A0" w:rsidRPr="00D45890" w:rsidRDefault="00FC53A0">
      <w:pPr>
        <w:pStyle w:val="Default"/>
        <w:spacing w:before="0"/>
        <w:jc w:val="both"/>
        <w:rPr>
          <w:rFonts w:ascii="Helvetica" w:eastAsia="Helvetica" w:hAnsi="Helvetica" w:cs="Helvetica"/>
          <w:sz w:val="22"/>
          <w:szCs w:val="22"/>
        </w:rPr>
      </w:pPr>
    </w:p>
    <w:p w14:paraId="7C412F59" w14:textId="77777777" w:rsidR="00FC53A0" w:rsidRPr="00D45890" w:rsidRDefault="00FC53A0">
      <w:pPr>
        <w:pStyle w:val="Default"/>
        <w:spacing w:before="0"/>
        <w:jc w:val="both"/>
        <w:rPr>
          <w:rStyle w:val="None"/>
          <w:rFonts w:ascii="Helvetica" w:eastAsia="Helvetica" w:hAnsi="Helvetica" w:cs="Helvetica"/>
          <w:i/>
          <w:iCs/>
          <w:sz w:val="22"/>
          <w:szCs w:val="22"/>
        </w:rPr>
      </w:pPr>
    </w:p>
    <w:p w14:paraId="6BC25F1E" w14:textId="77777777" w:rsidR="00FC53A0" w:rsidRPr="00D45890" w:rsidRDefault="00FC53A0">
      <w:pPr>
        <w:pStyle w:val="Body"/>
        <w:rPr>
          <w:rFonts w:ascii="Helvetica" w:eastAsia="Helvetica" w:hAnsi="Helvetica" w:cs="Helvetica"/>
          <w:color w:val="F29E65"/>
          <w:sz w:val="22"/>
          <w:szCs w:val="22"/>
          <w:u w:color="222222"/>
        </w:rPr>
      </w:pPr>
    </w:p>
    <w:p w14:paraId="1AC7F06C" w14:textId="77777777" w:rsidR="00FC53A0" w:rsidRPr="00D45890" w:rsidRDefault="00FC53A0">
      <w:pPr>
        <w:pStyle w:val="Body"/>
        <w:rPr>
          <w:rStyle w:val="None"/>
          <w:rFonts w:ascii="Helvetica" w:eastAsia="Helvetica" w:hAnsi="Helvetica" w:cs="Helvetica"/>
          <w:color w:val="F29E65"/>
          <w:sz w:val="22"/>
          <w:szCs w:val="22"/>
        </w:rPr>
      </w:pPr>
    </w:p>
    <w:p w14:paraId="035F0FB8" w14:textId="77777777" w:rsidR="00FC53A0" w:rsidRPr="00D45890" w:rsidRDefault="00FC53A0">
      <w:pPr>
        <w:pStyle w:val="Body"/>
      </w:pPr>
    </w:p>
    <w:sectPr w:rsidR="00FC53A0" w:rsidRPr="00D45890">
      <w:headerReference w:type="default" r:id="rId11"/>
      <w:footerReference w:type="default" r:id="rId12"/>
      <w:pgSz w:w="12240" w:h="15840"/>
      <w:pgMar w:top="245" w:right="1080" w:bottom="1454" w:left="1080"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6DDC3" w14:textId="77777777" w:rsidR="003B3DEA" w:rsidRDefault="003B3DEA">
      <w:r>
        <w:separator/>
      </w:r>
    </w:p>
  </w:endnote>
  <w:endnote w:type="continuationSeparator" w:id="0">
    <w:p w14:paraId="7D0B1A37" w14:textId="77777777" w:rsidR="003B3DEA" w:rsidRDefault="003B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auto"/>
    <w:pitch w:val="variable"/>
    <w:sig w:usb0="E50002FF" w:usb1="500079DB" w:usb2="00000010" w:usb3="00000000" w:csb0="00000001" w:csb1="00000000"/>
  </w:font>
  <w:font w:name="Calibri">
    <w:panose1 w:val="020F0502020204030204"/>
    <w:charset w:val="BA"/>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Times Roman">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1736E" w14:textId="77777777" w:rsidR="00FC53A0" w:rsidRDefault="00FC53A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C62B1" w14:textId="77777777" w:rsidR="003B3DEA" w:rsidRDefault="003B3DEA">
      <w:r>
        <w:separator/>
      </w:r>
    </w:p>
  </w:footnote>
  <w:footnote w:type="continuationSeparator" w:id="0">
    <w:p w14:paraId="12901241" w14:textId="77777777" w:rsidR="003B3DEA" w:rsidRDefault="003B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31BE" w14:textId="77777777" w:rsidR="00FC53A0" w:rsidRDefault="00FC53A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3A0"/>
    <w:rsid w:val="00023709"/>
    <w:rsid w:val="00064CEE"/>
    <w:rsid w:val="00070ED7"/>
    <w:rsid w:val="000C6884"/>
    <w:rsid w:val="000E45EA"/>
    <w:rsid w:val="000E55D4"/>
    <w:rsid w:val="00110B13"/>
    <w:rsid w:val="00134A16"/>
    <w:rsid w:val="00155811"/>
    <w:rsid w:val="00183ABF"/>
    <w:rsid w:val="001E214B"/>
    <w:rsid w:val="001E4534"/>
    <w:rsid w:val="001F2702"/>
    <w:rsid w:val="002163C0"/>
    <w:rsid w:val="002201F8"/>
    <w:rsid w:val="0022335A"/>
    <w:rsid w:val="0023516D"/>
    <w:rsid w:val="002539C9"/>
    <w:rsid w:val="00253F93"/>
    <w:rsid w:val="002573C6"/>
    <w:rsid w:val="00284DDB"/>
    <w:rsid w:val="00294EB5"/>
    <w:rsid w:val="002A0950"/>
    <w:rsid w:val="002A77B2"/>
    <w:rsid w:val="002D0D52"/>
    <w:rsid w:val="002D4573"/>
    <w:rsid w:val="00303DCF"/>
    <w:rsid w:val="00316F29"/>
    <w:rsid w:val="00332BB4"/>
    <w:rsid w:val="00365571"/>
    <w:rsid w:val="003662C4"/>
    <w:rsid w:val="003A1CB2"/>
    <w:rsid w:val="003B3DEA"/>
    <w:rsid w:val="003B5544"/>
    <w:rsid w:val="003F489A"/>
    <w:rsid w:val="00400C1E"/>
    <w:rsid w:val="00402248"/>
    <w:rsid w:val="004337C8"/>
    <w:rsid w:val="00451AF1"/>
    <w:rsid w:val="004573D9"/>
    <w:rsid w:val="00457670"/>
    <w:rsid w:val="004E73C6"/>
    <w:rsid w:val="004F4C6E"/>
    <w:rsid w:val="00520B55"/>
    <w:rsid w:val="00540872"/>
    <w:rsid w:val="00555E90"/>
    <w:rsid w:val="00573554"/>
    <w:rsid w:val="005836C3"/>
    <w:rsid w:val="005A0510"/>
    <w:rsid w:val="005A74B6"/>
    <w:rsid w:val="005A7E95"/>
    <w:rsid w:val="005C0EBF"/>
    <w:rsid w:val="005F596A"/>
    <w:rsid w:val="005F62D3"/>
    <w:rsid w:val="005F77AD"/>
    <w:rsid w:val="006001D8"/>
    <w:rsid w:val="0060567A"/>
    <w:rsid w:val="00650ED8"/>
    <w:rsid w:val="00662A93"/>
    <w:rsid w:val="006712F2"/>
    <w:rsid w:val="00685360"/>
    <w:rsid w:val="006C3099"/>
    <w:rsid w:val="006D2B07"/>
    <w:rsid w:val="006E0236"/>
    <w:rsid w:val="00706E7F"/>
    <w:rsid w:val="00770AF6"/>
    <w:rsid w:val="007A154B"/>
    <w:rsid w:val="007A6005"/>
    <w:rsid w:val="007C0D94"/>
    <w:rsid w:val="007C7247"/>
    <w:rsid w:val="007F3EF4"/>
    <w:rsid w:val="00820009"/>
    <w:rsid w:val="00850AB5"/>
    <w:rsid w:val="008C74AA"/>
    <w:rsid w:val="00937CD9"/>
    <w:rsid w:val="00952A8C"/>
    <w:rsid w:val="0097575F"/>
    <w:rsid w:val="009A48FB"/>
    <w:rsid w:val="009B33EB"/>
    <w:rsid w:val="009B687E"/>
    <w:rsid w:val="009E2571"/>
    <w:rsid w:val="00A2518E"/>
    <w:rsid w:val="00A25C7A"/>
    <w:rsid w:val="00A425ED"/>
    <w:rsid w:val="00A52A5E"/>
    <w:rsid w:val="00A744FE"/>
    <w:rsid w:val="00A81601"/>
    <w:rsid w:val="00A81AD4"/>
    <w:rsid w:val="00A87721"/>
    <w:rsid w:val="00A90952"/>
    <w:rsid w:val="00AC515E"/>
    <w:rsid w:val="00AF70C5"/>
    <w:rsid w:val="00AF723C"/>
    <w:rsid w:val="00AF758B"/>
    <w:rsid w:val="00B15987"/>
    <w:rsid w:val="00B45999"/>
    <w:rsid w:val="00B534B3"/>
    <w:rsid w:val="00B6449D"/>
    <w:rsid w:val="00B8446A"/>
    <w:rsid w:val="00BA0EA4"/>
    <w:rsid w:val="00BC02A8"/>
    <w:rsid w:val="00BD36F6"/>
    <w:rsid w:val="00BF0094"/>
    <w:rsid w:val="00BF62E7"/>
    <w:rsid w:val="00C27418"/>
    <w:rsid w:val="00C4423C"/>
    <w:rsid w:val="00C633AD"/>
    <w:rsid w:val="00C9630D"/>
    <w:rsid w:val="00CA342B"/>
    <w:rsid w:val="00CA4B5A"/>
    <w:rsid w:val="00CA73B1"/>
    <w:rsid w:val="00D05475"/>
    <w:rsid w:val="00D225A7"/>
    <w:rsid w:val="00D314E0"/>
    <w:rsid w:val="00D332CA"/>
    <w:rsid w:val="00D45890"/>
    <w:rsid w:val="00D55597"/>
    <w:rsid w:val="00D65BF8"/>
    <w:rsid w:val="00D97F0B"/>
    <w:rsid w:val="00DF1193"/>
    <w:rsid w:val="00E16B34"/>
    <w:rsid w:val="00E21122"/>
    <w:rsid w:val="00E40650"/>
    <w:rsid w:val="00E4486A"/>
    <w:rsid w:val="00E673D9"/>
    <w:rsid w:val="00E70B0C"/>
    <w:rsid w:val="00E85CE8"/>
    <w:rsid w:val="00E94547"/>
    <w:rsid w:val="00F04D31"/>
    <w:rsid w:val="00F10C96"/>
    <w:rsid w:val="00F336A5"/>
    <w:rsid w:val="00F76CFB"/>
    <w:rsid w:val="00FC4F71"/>
    <w:rsid w:val="00FC53A0"/>
    <w:rsid w:val="00FC744A"/>
    <w:rsid w:val="00FD50C2"/>
    <w:rsid w:val="00FE6C5F"/>
    <w:rsid w:val="00FF5BD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D5746"/>
  <w15:docId w15:val="{B266FB13-B9C4-4E37-81E8-6F88F2FFD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1155CC"/>
      <w:u w:val="single"/>
    </w:rPr>
  </w:style>
  <w:style w:type="character" w:styleId="UnresolvedMention">
    <w:name w:val="Unresolved Mention"/>
    <w:basedOn w:val="DefaultParagraphFont"/>
    <w:uiPriority w:val="99"/>
    <w:semiHidden/>
    <w:unhideWhenUsed/>
    <w:rsid w:val="00685360"/>
    <w:rPr>
      <w:color w:val="605E5C"/>
      <w:shd w:val="clear" w:color="auto" w:fill="E1DFDD"/>
    </w:rPr>
  </w:style>
  <w:style w:type="paragraph" w:styleId="FootnoteText">
    <w:name w:val="footnote text"/>
    <w:basedOn w:val="Normal"/>
    <w:link w:val="FootnoteTextChar"/>
    <w:uiPriority w:val="99"/>
    <w:semiHidden/>
    <w:unhideWhenUsed/>
    <w:rsid w:val="002163C0"/>
    <w:rPr>
      <w:sz w:val="20"/>
      <w:szCs w:val="20"/>
    </w:rPr>
  </w:style>
  <w:style w:type="character" w:customStyle="1" w:styleId="FootnoteTextChar">
    <w:name w:val="Footnote Text Char"/>
    <w:basedOn w:val="DefaultParagraphFont"/>
    <w:link w:val="FootnoteText"/>
    <w:uiPriority w:val="99"/>
    <w:semiHidden/>
    <w:rsid w:val="002163C0"/>
    <w:rPr>
      <w:lang w:val="en-US" w:eastAsia="en-US"/>
    </w:rPr>
  </w:style>
  <w:style w:type="character" w:styleId="FootnoteReference">
    <w:name w:val="footnote reference"/>
    <w:basedOn w:val="DefaultParagraphFont"/>
    <w:uiPriority w:val="99"/>
    <w:semiHidden/>
    <w:unhideWhenUsed/>
    <w:rsid w:val="002163C0"/>
    <w:rPr>
      <w:vertAlign w:val="superscript"/>
    </w:rPr>
  </w:style>
  <w:style w:type="paragraph" w:styleId="NormalWeb">
    <w:name w:val="Normal (Web)"/>
    <w:basedOn w:val="Normal"/>
    <w:uiPriority w:val="99"/>
    <w:unhideWhenUsed/>
    <w:rsid w:val="00D314E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eastAsiaTheme="minorEastAsia" w:hAnsi="Times"/>
      <w:sz w:val="20"/>
      <w:szCs w:val="20"/>
      <w:bdr w:val="none" w:sz="0" w:space="0" w:color="auto"/>
    </w:rPr>
  </w:style>
  <w:style w:type="character" w:styleId="Strong">
    <w:name w:val="Strong"/>
    <w:basedOn w:val="DefaultParagraphFont"/>
    <w:uiPriority w:val="22"/>
    <w:qFormat/>
    <w:rsid w:val="00D314E0"/>
    <w:rPr>
      <w:b/>
      <w:bCs/>
    </w:rPr>
  </w:style>
  <w:style w:type="paragraph" w:styleId="Revision">
    <w:name w:val="Revision"/>
    <w:hidden/>
    <w:uiPriority w:val="99"/>
    <w:semiHidden/>
    <w:rsid w:val="002539C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CommentReference">
    <w:name w:val="annotation reference"/>
    <w:basedOn w:val="DefaultParagraphFont"/>
    <w:uiPriority w:val="99"/>
    <w:semiHidden/>
    <w:unhideWhenUsed/>
    <w:rsid w:val="00D225A7"/>
    <w:rPr>
      <w:sz w:val="16"/>
      <w:szCs w:val="16"/>
    </w:rPr>
  </w:style>
  <w:style w:type="paragraph" w:styleId="CommentText">
    <w:name w:val="annotation text"/>
    <w:basedOn w:val="Normal"/>
    <w:link w:val="CommentTextChar"/>
    <w:uiPriority w:val="99"/>
    <w:semiHidden/>
    <w:unhideWhenUsed/>
    <w:rsid w:val="00D225A7"/>
    <w:rPr>
      <w:sz w:val="20"/>
      <w:szCs w:val="20"/>
    </w:rPr>
  </w:style>
  <w:style w:type="character" w:customStyle="1" w:styleId="CommentTextChar">
    <w:name w:val="Comment Text Char"/>
    <w:basedOn w:val="DefaultParagraphFont"/>
    <w:link w:val="CommentText"/>
    <w:uiPriority w:val="99"/>
    <w:semiHidden/>
    <w:rsid w:val="00D225A7"/>
    <w:rPr>
      <w:lang w:val="en-US" w:eastAsia="en-US"/>
    </w:rPr>
  </w:style>
  <w:style w:type="paragraph" w:styleId="CommentSubject">
    <w:name w:val="annotation subject"/>
    <w:basedOn w:val="CommentText"/>
    <w:next w:val="CommentText"/>
    <w:link w:val="CommentSubjectChar"/>
    <w:uiPriority w:val="99"/>
    <w:semiHidden/>
    <w:unhideWhenUsed/>
    <w:rsid w:val="00D225A7"/>
    <w:rPr>
      <w:b/>
      <w:bCs/>
    </w:rPr>
  </w:style>
  <w:style w:type="character" w:customStyle="1" w:styleId="CommentSubjectChar">
    <w:name w:val="Comment Subject Char"/>
    <w:basedOn w:val="CommentTextChar"/>
    <w:link w:val="CommentSubject"/>
    <w:uiPriority w:val="99"/>
    <w:semiHidden/>
    <w:rsid w:val="00D225A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18119">
      <w:bodyDiv w:val="1"/>
      <w:marLeft w:val="0"/>
      <w:marRight w:val="0"/>
      <w:marTop w:val="0"/>
      <w:marBottom w:val="0"/>
      <w:divBdr>
        <w:top w:val="none" w:sz="0" w:space="0" w:color="auto"/>
        <w:left w:val="none" w:sz="0" w:space="0" w:color="auto"/>
        <w:bottom w:val="none" w:sz="0" w:space="0" w:color="auto"/>
        <w:right w:val="none" w:sz="0" w:space="0" w:color="auto"/>
      </w:divBdr>
    </w:div>
    <w:div w:id="733165464">
      <w:bodyDiv w:val="1"/>
      <w:marLeft w:val="0"/>
      <w:marRight w:val="0"/>
      <w:marTop w:val="0"/>
      <w:marBottom w:val="0"/>
      <w:divBdr>
        <w:top w:val="none" w:sz="0" w:space="0" w:color="auto"/>
        <w:left w:val="none" w:sz="0" w:space="0" w:color="auto"/>
        <w:bottom w:val="none" w:sz="0" w:space="0" w:color="auto"/>
        <w:right w:val="none" w:sz="0" w:space="0" w:color="auto"/>
      </w:divBdr>
      <w:divsChild>
        <w:div w:id="713429560">
          <w:marLeft w:val="0"/>
          <w:marRight w:val="0"/>
          <w:marTop w:val="0"/>
          <w:marBottom w:val="0"/>
          <w:divBdr>
            <w:top w:val="none" w:sz="0" w:space="0" w:color="auto"/>
            <w:left w:val="none" w:sz="0" w:space="0" w:color="auto"/>
            <w:bottom w:val="none" w:sz="0" w:space="0" w:color="auto"/>
            <w:right w:val="none" w:sz="0" w:space="0" w:color="auto"/>
          </w:divBdr>
          <w:divsChild>
            <w:div w:id="1272586020">
              <w:marLeft w:val="0"/>
              <w:marRight w:val="0"/>
              <w:marTop w:val="0"/>
              <w:marBottom w:val="0"/>
              <w:divBdr>
                <w:top w:val="none" w:sz="0" w:space="0" w:color="auto"/>
                <w:left w:val="none" w:sz="0" w:space="0" w:color="auto"/>
                <w:bottom w:val="none" w:sz="0" w:space="0" w:color="auto"/>
                <w:right w:val="none" w:sz="0" w:space="0" w:color="auto"/>
              </w:divBdr>
              <w:divsChild>
                <w:div w:id="1324505323">
                  <w:marLeft w:val="0"/>
                  <w:marRight w:val="0"/>
                  <w:marTop w:val="0"/>
                  <w:marBottom w:val="0"/>
                  <w:divBdr>
                    <w:top w:val="none" w:sz="0" w:space="0" w:color="auto"/>
                    <w:left w:val="none" w:sz="0" w:space="0" w:color="auto"/>
                    <w:bottom w:val="none" w:sz="0" w:space="0" w:color="auto"/>
                    <w:right w:val="none" w:sz="0" w:space="0" w:color="auto"/>
                  </w:divBdr>
                  <w:divsChild>
                    <w:div w:id="205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580522">
          <w:marLeft w:val="0"/>
          <w:marRight w:val="0"/>
          <w:marTop w:val="0"/>
          <w:marBottom w:val="0"/>
          <w:divBdr>
            <w:top w:val="none" w:sz="0" w:space="0" w:color="auto"/>
            <w:left w:val="none" w:sz="0" w:space="0" w:color="auto"/>
            <w:bottom w:val="none" w:sz="0" w:space="0" w:color="auto"/>
            <w:right w:val="none" w:sz="0" w:space="0" w:color="auto"/>
          </w:divBdr>
          <w:divsChild>
            <w:div w:id="45837445">
              <w:marLeft w:val="0"/>
              <w:marRight w:val="0"/>
              <w:marTop w:val="0"/>
              <w:marBottom w:val="0"/>
              <w:divBdr>
                <w:top w:val="none" w:sz="0" w:space="0" w:color="auto"/>
                <w:left w:val="none" w:sz="0" w:space="0" w:color="auto"/>
                <w:bottom w:val="none" w:sz="0" w:space="0" w:color="auto"/>
                <w:right w:val="none" w:sz="0" w:space="0" w:color="auto"/>
              </w:divBdr>
              <w:divsChild>
                <w:div w:id="253589112">
                  <w:marLeft w:val="0"/>
                  <w:marRight w:val="0"/>
                  <w:marTop w:val="0"/>
                  <w:marBottom w:val="0"/>
                  <w:divBdr>
                    <w:top w:val="none" w:sz="0" w:space="0" w:color="auto"/>
                    <w:left w:val="none" w:sz="0" w:space="0" w:color="auto"/>
                    <w:bottom w:val="none" w:sz="0" w:space="0" w:color="auto"/>
                    <w:right w:val="none" w:sz="0" w:space="0" w:color="auto"/>
                  </w:divBdr>
                  <w:divsChild>
                    <w:div w:id="202875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4209">
      <w:bodyDiv w:val="1"/>
      <w:marLeft w:val="0"/>
      <w:marRight w:val="0"/>
      <w:marTop w:val="0"/>
      <w:marBottom w:val="0"/>
      <w:divBdr>
        <w:top w:val="none" w:sz="0" w:space="0" w:color="auto"/>
        <w:left w:val="none" w:sz="0" w:space="0" w:color="auto"/>
        <w:bottom w:val="none" w:sz="0" w:space="0" w:color="auto"/>
        <w:right w:val="none" w:sz="0" w:space="0" w:color="auto"/>
      </w:divBdr>
    </w:div>
    <w:div w:id="1068965439">
      <w:bodyDiv w:val="1"/>
      <w:marLeft w:val="0"/>
      <w:marRight w:val="0"/>
      <w:marTop w:val="0"/>
      <w:marBottom w:val="0"/>
      <w:divBdr>
        <w:top w:val="none" w:sz="0" w:space="0" w:color="auto"/>
        <w:left w:val="none" w:sz="0" w:space="0" w:color="auto"/>
        <w:bottom w:val="none" w:sz="0" w:space="0" w:color="auto"/>
        <w:right w:val="none" w:sz="0" w:space="0" w:color="auto"/>
      </w:divBdr>
      <w:divsChild>
        <w:div w:id="1194996934">
          <w:marLeft w:val="0"/>
          <w:marRight w:val="0"/>
          <w:marTop w:val="0"/>
          <w:marBottom w:val="0"/>
          <w:divBdr>
            <w:top w:val="none" w:sz="0" w:space="0" w:color="auto"/>
            <w:left w:val="none" w:sz="0" w:space="0" w:color="auto"/>
            <w:bottom w:val="none" w:sz="0" w:space="0" w:color="auto"/>
            <w:right w:val="none" w:sz="0" w:space="0" w:color="auto"/>
          </w:divBdr>
          <w:divsChild>
            <w:div w:id="244805138">
              <w:marLeft w:val="0"/>
              <w:marRight w:val="0"/>
              <w:marTop w:val="0"/>
              <w:marBottom w:val="0"/>
              <w:divBdr>
                <w:top w:val="none" w:sz="0" w:space="0" w:color="auto"/>
                <w:left w:val="none" w:sz="0" w:space="0" w:color="auto"/>
                <w:bottom w:val="none" w:sz="0" w:space="0" w:color="auto"/>
                <w:right w:val="none" w:sz="0" w:space="0" w:color="auto"/>
              </w:divBdr>
              <w:divsChild>
                <w:div w:id="1631547587">
                  <w:marLeft w:val="0"/>
                  <w:marRight w:val="0"/>
                  <w:marTop w:val="0"/>
                  <w:marBottom w:val="0"/>
                  <w:divBdr>
                    <w:top w:val="none" w:sz="0" w:space="0" w:color="auto"/>
                    <w:left w:val="none" w:sz="0" w:space="0" w:color="auto"/>
                    <w:bottom w:val="none" w:sz="0" w:space="0" w:color="auto"/>
                    <w:right w:val="none" w:sz="0" w:space="0" w:color="auto"/>
                  </w:divBdr>
                  <w:divsChild>
                    <w:div w:id="192178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930529">
          <w:marLeft w:val="0"/>
          <w:marRight w:val="0"/>
          <w:marTop w:val="0"/>
          <w:marBottom w:val="0"/>
          <w:divBdr>
            <w:top w:val="none" w:sz="0" w:space="0" w:color="auto"/>
            <w:left w:val="none" w:sz="0" w:space="0" w:color="auto"/>
            <w:bottom w:val="none" w:sz="0" w:space="0" w:color="auto"/>
            <w:right w:val="none" w:sz="0" w:space="0" w:color="auto"/>
          </w:divBdr>
          <w:divsChild>
            <w:div w:id="1682462755">
              <w:marLeft w:val="0"/>
              <w:marRight w:val="0"/>
              <w:marTop w:val="0"/>
              <w:marBottom w:val="0"/>
              <w:divBdr>
                <w:top w:val="none" w:sz="0" w:space="0" w:color="auto"/>
                <w:left w:val="none" w:sz="0" w:space="0" w:color="auto"/>
                <w:bottom w:val="none" w:sz="0" w:space="0" w:color="auto"/>
                <w:right w:val="none" w:sz="0" w:space="0" w:color="auto"/>
              </w:divBdr>
              <w:divsChild>
                <w:div w:id="1059130548">
                  <w:marLeft w:val="0"/>
                  <w:marRight w:val="0"/>
                  <w:marTop w:val="0"/>
                  <w:marBottom w:val="0"/>
                  <w:divBdr>
                    <w:top w:val="none" w:sz="0" w:space="0" w:color="auto"/>
                    <w:left w:val="none" w:sz="0" w:space="0" w:color="auto"/>
                    <w:bottom w:val="none" w:sz="0" w:space="0" w:color="auto"/>
                    <w:right w:val="none" w:sz="0" w:space="0" w:color="auto"/>
                  </w:divBdr>
                  <w:divsChild>
                    <w:div w:id="5615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446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armin.com/lt-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amile.a@cogency.lt" TargetMode="External"/><Relationship Id="rId4" Type="http://schemas.openxmlformats.org/officeDocument/2006/relationships/webSettings" Target="webSettings.xml"/><Relationship Id="rId9" Type="http://schemas.openxmlformats.org/officeDocument/2006/relationships/hyperlink" Target="http://www.garmin.com/aboutGarmin/invRelations/finRepor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9CC3F-71CF-4F01-B321-5802685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3140</Words>
  <Characters>1791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Kamilė Augėnaitė | Coagency</dc:creator>
  <cp:lastModifiedBy>Naujas | Coagency</cp:lastModifiedBy>
  <cp:revision>22</cp:revision>
  <dcterms:created xsi:type="dcterms:W3CDTF">2025-06-12T07:31:00Z</dcterms:created>
  <dcterms:modified xsi:type="dcterms:W3CDTF">2025-06-12T10:43:00Z</dcterms:modified>
</cp:coreProperties>
</file>