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B9BF" w14:textId="32C7B73E" w:rsidR="00E50023" w:rsidRPr="004C2D0A" w:rsidRDefault="00FC3550" w:rsidP="00D55A90">
      <w:pPr>
        <w:spacing w:line="276" w:lineRule="auto"/>
        <w:jc w:val="center"/>
        <w:rPr>
          <w:rFonts w:asciiTheme="minorHAnsi" w:eastAsia="Arial" w:hAnsiTheme="minorHAnsi" w:cs="Arial"/>
          <w:b/>
          <w:sz w:val="28"/>
          <w:szCs w:val="28"/>
          <w:lang w:val="lt-LT"/>
        </w:rPr>
      </w:pPr>
      <w:r w:rsidRPr="004C2D0A">
        <w:rPr>
          <w:rFonts w:asciiTheme="minorHAnsi" w:eastAsia="Arial" w:hAnsiTheme="minorHAnsi" w:cs="Arial"/>
          <w:b/>
          <w:sz w:val="28"/>
          <w:szCs w:val="28"/>
          <w:lang w:val="lt-LT"/>
        </w:rPr>
        <w:t xml:space="preserve">„Go Vilnius“ pristato </w:t>
      </w:r>
      <w:r w:rsidR="002F3356" w:rsidRPr="004C2D0A">
        <w:rPr>
          <w:rFonts w:asciiTheme="minorHAnsi" w:eastAsia="Arial" w:hAnsiTheme="minorHAnsi" w:cs="Arial"/>
          <w:b/>
          <w:sz w:val="28"/>
          <w:szCs w:val="28"/>
          <w:lang w:val="lt-LT"/>
        </w:rPr>
        <w:t>at</w:t>
      </w:r>
      <w:r w:rsidRPr="004C2D0A">
        <w:rPr>
          <w:rFonts w:asciiTheme="minorHAnsi" w:eastAsia="Arial" w:hAnsiTheme="minorHAnsi" w:cs="Arial"/>
          <w:b/>
          <w:sz w:val="28"/>
          <w:szCs w:val="28"/>
          <w:lang w:val="lt-LT"/>
        </w:rPr>
        <w:t>nauj</w:t>
      </w:r>
      <w:r w:rsidR="002F3356" w:rsidRPr="004C2D0A">
        <w:rPr>
          <w:rFonts w:asciiTheme="minorHAnsi" w:eastAsia="Arial" w:hAnsiTheme="minorHAnsi" w:cs="Arial"/>
          <w:b/>
          <w:sz w:val="28"/>
          <w:szCs w:val="28"/>
          <w:lang w:val="lt-LT"/>
        </w:rPr>
        <w:t>int</w:t>
      </w:r>
      <w:r w:rsidRPr="004C2D0A">
        <w:rPr>
          <w:rFonts w:asciiTheme="minorHAnsi" w:eastAsia="Arial" w:hAnsiTheme="minorHAnsi" w:cs="Arial"/>
          <w:b/>
          <w:sz w:val="28"/>
          <w:szCs w:val="28"/>
          <w:lang w:val="lt-LT"/>
        </w:rPr>
        <w:t>ą vizualinį identitetą: daugiau aiškumo, nuoseklumo ir miesto atpažįstamumo</w:t>
      </w:r>
    </w:p>
    <w:p w14:paraId="67A403CD" w14:textId="6E7D535F" w:rsidR="00D72EB4" w:rsidRPr="003A7155" w:rsidRDefault="786DCA5A" w:rsidP="00D55A90">
      <w:pPr>
        <w:spacing w:line="276" w:lineRule="auto"/>
        <w:jc w:val="both"/>
        <w:rPr>
          <w:b/>
          <w:bCs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Vilniaus miesto plėtros agentūra „Go Vilnius</w:t>
      </w:r>
      <w:r w:rsidR="00756A90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“</w:t>
      </w:r>
      <w:r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 </w:t>
      </w:r>
      <w:r w:rsidR="00A436BD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pristat</w:t>
      </w:r>
      <w:r w:rsidR="00C90E5D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o</w:t>
      </w:r>
      <w:r w:rsidR="00A436BD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 </w:t>
      </w:r>
      <w:r w:rsidR="00F3416A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atnaujintą </w:t>
      </w:r>
      <w:r w:rsidR="00CB2D64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organizacijos prekės ženklą ir </w:t>
      </w:r>
      <w:r w:rsidR="00400FA2" w:rsidRPr="003A7155">
        <w:rPr>
          <w:rFonts w:asciiTheme="minorHAnsi" w:eastAsia="Arial" w:hAnsiTheme="minorHAnsi" w:cs="Arial"/>
          <w:b/>
          <w:sz w:val="22"/>
          <w:szCs w:val="22"/>
          <w:lang w:val="lt-LT"/>
        </w:rPr>
        <w:t xml:space="preserve">skėtinę (angl. </w:t>
      </w:r>
      <w:proofErr w:type="spellStart"/>
      <w:r w:rsidR="00400FA2" w:rsidRPr="003A7155">
        <w:rPr>
          <w:rFonts w:asciiTheme="minorHAnsi" w:eastAsia="Arial" w:hAnsiTheme="minorHAnsi" w:cs="Arial"/>
          <w:b/>
          <w:i/>
          <w:iCs/>
          <w:sz w:val="22"/>
          <w:szCs w:val="22"/>
          <w:lang w:val="lt-LT"/>
        </w:rPr>
        <w:t>branded</w:t>
      </w:r>
      <w:proofErr w:type="spellEnd"/>
      <w:r w:rsidR="00400FA2" w:rsidRPr="003A7155">
        <w:rPr>
          <w:rFonts w:asciiTheme="minorHAnsi" w:eastAsia="Arial" w:hAnsiTheme="minorHAnsi" w:cs="Arial"/>
          <w:b/>
          <w:i/>
          <w:iCs/>
          <w:sz w:val="22"/>
          <w:szCs w:val="22"/>
          <w:lang w:val="lt-LT"/>
        </w:rPr>
        <w:t xml:space="preserve"> </w:t>
      </w:r>
      <w:proofErr w:type="spellStart"/>
      <w:r w:rsidR="00400FA2" w:rsidRPr="003A7155">
        <w:rPr>
          <w:rFonts w:asciiTheme="minorHAnsi" w:eastAsia="Arial" w:hAnsiTheme="minorHAnsi" w:cs="Arial"/>
          <w:b/>
          <w:i/>
          <w:iCs/>
          <w:sz w:val="22"/>
          <w:szCs w:val="22"/>
          <w:lang w:val="lt-LT"/>
        </w:rPr>
        <w:t>house</w:t>
      </w:r>
      <w:proofErr w:type="spellEnd"/>
      <w:r w:rsidR="00400FA2" w:rsidRPr="003A7155">
        <w:rPr>
          <w:rFonts w:asciiTheme="minorHAnsi" w:eastAsia="Arial" w:hAnsiTheme="minorHAnsi" w:cs="Arial"/>
          <w:b/>
          <w:sz w:val="22"/>
          <w:szCs w:val="22"/>
          <w:lang w:val="lt-LT"/>
        </w:rPr>
        <w:t xml:space="preserve">) </w:t>
      </w:r>
      <w:r w:rsidR="2BC4A1D3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prekės ženkl</w:t>
      </w:r>
      <w:r w:rsidR="007D25EA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ų architektūrą</w:t>
      </w:r>
      <w:r w:rsidRPr="003A7155" w:rsidDel="001C380F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. Organizacijos vadovės Dovilės Aleksandravičienės teigimu, </w:t>
      </w:r>
      <w:r w:rsidR="1B636D37" w:rsidRPr="003A7155" w:rsidDel="001C380F">
        <w:rPr>
          <w:b/>
          <w:bCs/>
          <w:sz w:val="22"/>
          <w:szCs w:val="22"/>
          <w:lang w:val="lt-LT"/>
        </w:rPr>
        <w:t xml:space="preserve">šis žingsnis </w:t>
      </w:r>
      <w:r w:rsidR="1B636D37" w:rsidRPr="003A7155">
        <w:rPr>
          <w:b/>
          <w:bCs/>
          <w:sz w:val="22"/>
          <w:szCs w:val="22"/>
          <w:lang w:val="lt-LT"/>
        </w:rPr>
        <w:t xml:space="preserve">žymi </w:t>
      </w:r>
      <w:r w:rsidR="00C87DFD" w:rsidRPr="003A7155">
        <w:rPr>
          <w:b/>
          <w:bCs/>
          <w:sz w:val="22"/>
          <w:szCs w:val="22"/>
          <w:lang w:val="lt-LT"/>
        </w:rPr>
        <w:t xml:space="preserve">naują </w:t>
      </w:r>
      <w:r w:rsidR="00476980" w:rsidRPr="003A7155">
        <w:rPr>
          <w:b/>
          <w:bCs/>
          <w:sz w:val="22"/>
          <w:szCs w:val="22"/>
          <w:lang w:val="lt-LT"/>
        </w:rPr>
        <w:t xml:space="preserve">įmonės </w:t>
      </w:r>
      <w:r w:rsidR="1B636D37" w:rsidRPr="003A7155">
        <w:rPr>
          <w:b/>
          <w:bCs/>
          <w:sz w:val="22"/>
          <w:szCs w:val="22"/>
          <w:lang w:val="lt-LT"/>
        </w:rPr>
        <w:t xml:space="preserve">komunikacinės brandos etapą, kuris </w:t>
      </w:r>
      <w:r w:rsidR="00DD0F61" w:rsidRPr="003A7155">
        <w:rPr>
          <w:b/>
          <w:bCs/>
          <w:sz w:val="22"/>
          <w:szCs w:val="22"/>
          <w:lang w:val="lt-LT"/>
        </w:rPr>
        <w:t xml:space="preserve">padeda aiškiau ir efektyviau atskleisti </w:t>
      </w:r>
      <w:r w:rsidR="00476980" w:rsidRPr="003A7155">
        <w:rPr>
          <w:b/>
          <w:sz w:val="22"/>
          <w:szCs w:val="22"/>
          <w:lang w:val="lt-LT"/>
        </w:rPr>
        <w:t xml:space="preserve">platų </w:t>
      </w:r>
      <w:r w:rsidR="00DD0F61" w:rsidRPr="003A7155">
        <w:rPr>
          <w:b/>
          <w:bCs/>
          <w:sz w:val="22"/>
          <w:szCs w:val="22"/>
          <w:lang w:val="lt-LT"/>
        </w:rPr>
        <w:t>veiklų spektrą bei strateginius tikslus.</w:t>
      </w:r>
    </w:p>
    <w:p w14:paraId="65D846CB" w14:textId="238645A7" w:rsidR="00014294" w:rsidRPr="003A7155" w:rsidRDefault="00014294" w:rsidP="00014294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„Norime, kad mūsų komunikacija būtų </w:t>
      </w:r>
      <w:r w:rsidR="000E7890" w:rsidRPr="003A7155">
        <w:rPr>
          <w:rFonts w:asciiTheme="minorHAnsi" w:eastAsia="Arial" w:hAnsiTheme="minorHAnsi" w:cs="Arial"/>
          <w:sz w:val="22"/>
          <w:szCs w:val="22"/>
          <w:lang w:val="lt-LT"/>
        </w:rPr>
        <w:t>nuosekli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, lengvai atpažįstama ir strategiškai stipri – kaip ir pats Vilnius. Atnaujintas vizualinis identitetas </w:t>
      </w:r>
      <w:r w:rsidR="00603288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sustiprins miesto atpažįstamumą tarptautiniu mastu, </w:t>
      </w:r>
      <w:r w:rsidR="009D3052" w:rsidRPr="003A7155">
        <w:rPr>
          <w:rFonts w:asciiTheme="minorHAnsi" w:eastAsia="Arial" w:hAnsiTheme="minorHAnsi" w:cs="Arial"/>
          <w:sz w:val="22"/>
          <w:szCs w:val="22"/>
          <w:lang w:val="lt-LT"/>
        </w:rPr>
        <w:t>tuo pačiu</w:t>
      </w:r>
      <w:r w:rsidR="00603288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  <w:r w:rsidR="000E7890" w:rsidRPr="003A7155">
        <w:rPr>
          <w:rFonts w:asciiTheme="minorHAnsi" w:eastAsia="Arial" w:hAnsiTheme="minorHAnsi" w:cs="Arial"/>
          <w:sz w:val="22"/>
          <w:szCs w:val="22"/>
          <w:lang w:val="lt-LT"/>
        </w:rPr>
        <w:t>aiškiau</w:t>
      </w:r>
      <w:r w:rsidR="00AC6E45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identifikuos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mūsų veiklos apimtį ir tikslus“, – sako Dovilė Aleksandravičienė, „Go Vilnius“ vadovė.</w:t>
      </w:r>
    </w:p>
    <w:p w14:paraId="4904982F" w14:textId="77777777" w:rsidR="00643807" w:rsidRPr="003A7155" w:rsidRDefault="00643807" w:rsidP="00643807">
      <w:pPr>
        <w:spacing w:line="276" w:lineRule="auto"/>
        <w:jc w:val="both"/>
        <w:rPr>
          <w:b/>
          <w:bCs/>
          <w:sz w:val="22"/>
          <w:szCs w:val="22"/>
          <w:lang w:val="lt-LT"/>
        </w:rPr>
      </w:pPr>
      <w:r w:rsidRPr="003A7155">
        <w:rPr>
          <w:b/>
          <w:bCs/>
          <w:sz w:val="22"/>
          <w:szCs w:val="22"/>
          <w:lang w:val="lt-LT"/>
        </w:rPr>
        <w:t>Esminis pokytis – vieningos miesto vizualinės tapatybės stiprinimas</w:t>
      </w:r>
    </w:p>
    <w:p w14:paraId="50C47B8B" w14:textId="10AA346E" w:rsidR="00014294" w:rsidRPr="003A7155" w:rsidRDefault="007E59A0" w:rsidP="00014294">
      <w:pPr>
        <w:spacing w:line="276" w:lineRule="auto"/>
        <w:jc w:val="both"/>
        <w:rPr>
          <w:bCs/>
          <w:sz w:val="22"/>
          <w:szCs w:val="22"/>
          <w:lang w:val="lt-LT"/>
        </w:rPr>
      </w:pPr>
      <w:r w:rsidRPr="003A7155">
        <w:rPr>
          <w:bCs/>
          <w:sz w:val="22"/>
          <w:szCs w:val="22"/>
          <w:lang w:val="lt-LT"/>
        </w:rPr>
        <w:t>Didžiausia naujovė – savarankiško „Go Vilnius“ logotipo atsisakymas ir jo suvienodinimas su oficialiu Vilniaus miesto ženklu. Šis sprendimas sustiprina vieningą sostinės vizualinę kalbą, sukuria aiškų ryšį tarp miesto ir jį atstovaujanči</w:t>
      </w:r>
      <w:r w:rsidR="001B0BB6" w:rsidRPr="003A7155">
        <w:rPr>
          <w:bCs/>
          <w:sz w:val="22"/>
          <w:szCs w:val="22"/>
          <w:lang w:val="lt-LT"/>
        </w:rPr>
        <w:t>os</w:t>
      </w:r>
      <w:r w:rsidRPr="003A7155">
        <w:rPr>
          <w:bCs/>
          <w:sz w:val="22"/>
          <w:szCs w:val="22"/>
          <w:lang w:val="lt-LT"/>
        </w:rPr>
        <w:t xml:space="preserve"> institucij</w:t>
      </w:r>
      <w:r w:rsidR="001B0BB6" w:rsidRPr="003A7155">
        <w:rPr>
          <w:bCs/>
          <w:sz w:val="22"/>
          <w:szCs w:val="22"/>
          <w:lang w:val="lt-LT"/>
        </w:rPr>
        <w:t>os</w:t>
      </w:r>
      <w:r w:rsidRPr="003A7155">
        <w:rPr>
          <w:bCs/>
          <w:sz w:val="22"/>
          <w:szCs w:val="22"/>
          <w:lang w:val="lt-LT"/>
        </w:rPr>
        <w:t xml:space="preserve"> bei leidžia efektyviau komunikuoti su skirtingomis auditorijomis – nuo turistų iki investuotojų. Tai taip pat prisideda prie Vilniaus, kaip prekės ženklo, žinomumo ir vertės augimo tarptautinėje arenoje.</w:t>
      </w:r>
    </w:p>
    <w:p w14:paraId="7619C7E7" w14:textId="0F060A80" w:rsidR="00D72EB4" w:rsidRPr="003A7155" w:rsidRDefault="00D72EB4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Vieningas ženklų stilius </w:t>
      </w:r>
      <w:r w:rsidR="00B9462F"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–</w:t>
      </w:r>
      <w:r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 xml:space="preserve"> skirtingoms funkcijoms</w:t>
      </w:r>
    </w:p>
    <w:p w14:paraId="4FB1EE7B" w14:textId="77777777" w:rsidR="00E93E42" w:rsidRPr="003A7155" w:rsidRDefault="00D47AD9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„</w:t>
      </w:r>
      <w:r w:rsidR="00446756" w:rsidRPr="003A7155">
        <w:rPr>
          <w:rFonts w:asciiTheme="minorHAnsi" w:eastAsia="Arial" w:hAnsiTheme="minorHAnsi" w:cs="Arial"/>
          <w:sz w:val="22"/>
          <w:szCs w:val="22"/>
          <w:lang w:val="lt-LT"/>
        </w:rPr>
        <w:t>Go Vilnius“</w:t>
      </w:r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tikslai – didinti tarptautinį Vilniaus žinomumą</w:t>
      </w:r>
      <w:r w:rsidR="007D6CB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ir patrauklumą</w:t>
      </w:r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, skatinti </w:t>
      </w:r>
      <w:r w:rsidR="009648BE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atvykstamąjį </w:t>
      </w:r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turizmą, pritraukti </w:t>
      </w:r>
      <w:r w:rsidR="00F3416A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užsienio </w:t>
      </w:r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>investicijas, tarptautines konferencijas</w:t>
      </w:r>
      <w:r w:rsidR="008E1A8F" w:rsidRPr="003A7155">
        <w:rPr>
          <w:rFonts w:asciiTheme="minorHAnsi" w:eastAsia="Arial" w:hAnsiTheme="minorHAnsi" w:cs="Arial"/>
          <w:sz w:val="22"/>
          <w:szCs w:val="22"/>
          <w:lang w:val="lt-LT"/>
        </w:rPr>
        <w:t>,</w:t>
      </w:r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užtikrinti sklandžią užsienio talentų </w:t>
      </w:r>
      <w:proofErr w:type="spellStart"/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>relokaciją</w:t>
      </w:r>
      <w:proofErr w:type="spellEnd"/>
      <w:r w:rsidR="00B9462F" w:rsidRPr="003A7155">
        <w:rPr>
          <w:rFonts w:asciiTheme="minorHAnsi" w:eastAsia="Arial" w:hAnsiTheme="minorHAnsi" w:cs="Arial"/>
          <w:sz w:val="22"/>
          <w:szCs w:val="22"/>
          <w:lang w:val="lt-LT"/>
        </w:rPr>
        <w:t>.</w:t>
      </w:r>
      <w:r w:rsidR="00B8033F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</w:p>
    <w:p w14:paraId="62A755DB" w14:textId="77777777" w:rsidR="00072297" w:rsidRPr="003A7155" w:rsidRDefault="00072297" w:rsidP="00072297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„Atnaujinta prekės ženklų architektūra suteiks nuoseklumo ir aiškumo tiek miesto svečiams, tiek partneriams ar investuotojams, o naujieji logotipai leis lengviau atpažinti skirtingas agentūros funkcijas, kartu stiprindami bendrą Vilniaus miesto atpažįstamumą tarptautinėje erdvėje“, – sako D. Aleksandravičienė.</w:t>
      </w:r>
    </w:p>
    <w:p w14:paraId="55A473C8" w14:textId="007910E9" w:rsidR="00E93E42" w:rsidRPr="003A7155" w:rsidRDefault="00E93E42" w:rsidP="00E93E42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Naujoje prekės ženklų sistemoje:</w:t>
      </w:r>
    </w:p>
    <w:p w14:paraId="20FAA3C3" w14:textId="77777777" w:rsidR="00E93E42" w:rsidRPr="003A7155" w:rsidRDefault="00E93E42" w:rsidP="0061050F">
      <w:pPr>
        <w:numPr>
          <w:ilvl w:val="0"/>
          <w:numId w:val="7"/>
        </w:num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Atnaujinti „Vilnius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Tourism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Centre“ ir „International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House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Vilnius“ logotipai.</w:t>
      </w:r>
    </w:p>
    <w:p w14:paraId="4A693D17" w14:textId="5F292B56" w:rsidR="00E93E42" w:rsidRPr="003A7155" w:rsidRDefault="00E93E42" w:rsidP="0061050F">
      <w:pPr>
        <w:numPr>
          <w:ilvl w:val="0"/>
          <w:numId w:val="7"/>
        </w:num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Sukurti nauji ženklai</w:t>
      </w:r>
      <w:r w:rsidR="003744A9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–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„Vilnius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Business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“ ir „Vilnius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Convention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Bureau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“.</w:t>
      </w:r>
    </w:p>
    <w:p w14:paraId="42597F9C" w14:textId="77777777" w:rsidR="00E93E42" w:rsidRPr="003A7155" w:rsidRDefault="00E93E42" w:rsidP="0061050F">
      <w:pPr>
        <w:numPr>
          <w:ilvl w:val="0"/>
          <w:numId w:val="7"/>
        </w:num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Atsisakyta savarankiško „Vilnius </w:t>
      </w:r>
      <w:proofErr w:type="spellStart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TechFusion</w:t>
      </w:r>
      <w:proofErr w:type="spellEnd"/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“ prekės ženklo.</w:t>
      </w:r>
    </w:p>
    <w:p w14:paraId="1CDF9D9C" w14:textId="3602FC7A" w:rsidR="00E93E42" w:rsidRPr="003A7155" w:rsidRDefault="00E93E42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Visi </w:t>
      </w:r>
      <w:r w:rsidR="00C37E63" w:rsidRPr="003A7155">
        <w:rPr>
          <w:rFonts w:asciiTheme="minorHAnsi" w:eastAsia="Arial" w:hAnsiTheme="minorHAnsi" w:cs="Arial"/>
          <w:sz w:val="22"/>
          <w:szCs w:val="22"/>
          <w:lang w:val="lt-LT"/>
        </w:rPr>
        <w:t>logotipai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pasižymi nuosekliu ir lengvai atpažįstamu vizualiniu stiliumi.</w:t>
      </w:r>
    </w:p>
    <w:p w14:paraId="2B964A78" w14:textId="6BFA4BAB" w:rsidR="00D52B74" w:rsidRPr="003A7155" w:rsidRDefault="00D52B74" w:rsidP="00D52B74">
      <w:pPr>
        <w:spacing w:line="276" w:lineRule="auto"/>
        <w:jc w:val="both"/>
        <w:rPr>
          <w:rFonts w:asciiTheme="minorHAnsi" w:eastAsia="Arial" w:hAnsiTheme="minorHAnsi" w:cs="Arial"/>
          <w:b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b/>
          <w:sz w:val="22"/>
          <w:szCs w:val="22"/>
          <w:lang w:val="lt-LT"/>
        </w:rPr>
        <w:t>Vidinis kūrybinis sprendimas, įkvėptas tarptautinių miestų gerosios praktikos</w:t>
      </w:r>
    </w:p>
    <w:p w14:paraId="6E0E814B" w14:textId="3C2BA2DB" w:rsidR="005A7A14" w:rsidRPr="003A7155" w:rsidRDefault="005A7A14" w:rsidP="005A7A14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„Go Vilnius“ identitetas </w:t>
      </w:r>
      <w:r w:rsidR="007751E3" w:rsidRPr="003A7155">
        <w:rPr>
          <w:rFonts w:asciiTheme="minorHAnsi" w:eastAsia="Arial" w:hAnsiTheme="minorHAnsi" w:cs="Arial"/>
          <w:sz w:val="22"/>
          <w:szCs w:val="22"/>
          <w:lang w:val="lt-LT"/>
        </w:rPr>
        <w:t>atnaujintas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pačios agentūros vidiniais pajėgumais. Prekės ženklo vadovė Beata Taputytė teigia, kad tai yra kryptingas žingsnis link vientisos Vilniaus miesto tapatybės.</w:t>
      </w:r>
    </w:p>
    <w:p w14:paraId="3E9AEC95" w14:textId="72D04514" w:rsidR="005C7523" w:rsidRPr="003A7155" w:rsidRDefault="001E4DC8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„</w:t>
      </w:r>
      <w:r w:rsidR="00204578" w:rsidRPr="003A7155">
        <w:rPr>
          <w:sz w:val="22"/>
          <w:szCs w:val="22"/>
          <w:lang w:val="lt-LT"/>
        </w:rPr>
        <w:t>Žvelgėme į pažangius miestus – Londoną, Amsterdamą, Kopenhagą, Vieną – ir matėme, kad jų stiprybė slypi vieningoje ženklų sistemoje. Tai ne tik dizaino klausimas – tai</w:t>
      </w:r>
      <w:r w:rsidR="0080057E" w:rsidRPr="003A7155">
        <w:rPr>
          <w:sz w:val="22"/>
          <w:szCs w:val="22"/>
          <w:lang w:val="lt-LT"/>
        </w:rPr>
        <w:t>p</w:t>
      </w:r>
      <w:r w:rsidR="00204578" w:rsidRPr="003A7155">
        <w:rPr>
          <w:sz w:val="22"/>
          <w:szCs w:val="22"/>
          <w:lang w:val="lt-LT"/>
        </w:rPr>
        <w:t xml:space="preserve"> </w:t>
      </w:r>
      <w:r w:rsidR="001F4420" w:rsidRPr="003A7155">
        <w:rPr>
          <w:sz w:val="22"/>
          <w:szCs w:val="22"/>
          <w:lang w:val="lt-LT"/>
        </w:rPr>
        <w:t>kuria</w:t>
      </w:r>
      <w:r w:rsidR="00266DFD" w:rsidRPr="003A7155">
        <w:rPr>
          <w:sz w:val="22"/>
          <w:szCs w:val="22"/>
          <w:lang w:val="lt-LT"/>
        </w:rPr>
        <w:t>m</w:t>
      </w:r>
      <w:r w:rsidR="00E52649" w:rsidRPr="003A7155">
        <w:rPr>
          <w:sz w:val="22"/>
          <w:szCs w:val="22"/>
          <w:lang w:val="lt-LT"/>
        </w:rPr>
        <w:t>os</w:t>
      </w:r>
      <w:r w:rsidR="001F4420" w:rsidRPr="003A7155">
        <w:rPr>
          <w:sz w:val="22"/>
          <w:szCs w:val="22"/>
          <w:lang w:val="lt-LT"/>
        </w:rPr>
        <w:t xml:space="preserve"> </w:t>
      </w:r>
      <w:r w:rsidR="00204578" w:rsidRPr="003A7155">
        <w:rPr>
          <w:sz w:val="22"/>
          <w:szCs w:val="22"/>
          <w:lang w:val="lt-LT"/>
        </w:rPr>
        <w:t>aiški</w:t>
      </w:r>
      <w:r w:rsidR="00E52649" w:rsidRPr="003A7155">
        <w:rPr>
          <w:sz w:val="22"/>
          <w:szCs w:val="22"/>
          <w:lang w:val="lt-LT"/>
        </w:rPr>
        <w:t>o</w:t>
      </w:r>
      <w:r w:rsidR="001F4420" w:rsidRPr="003A7155">
        <w:rPr>
          <w:sz w:val="22"/>
          <w:szCs w:val="22"/>
          <w:lang w:val="lt-LT"/>
        </w:rPr>
        <w:t>s</w:t>
      </w:r>
      <w:r w:rsidR="00204578" w:rsidRPr="003A7155">
        <w:rPr>
          <w:sz w:val="22"/>
          <w:szCs w:val="22"/>
          <w:lang w:val="lt-LT"/>
        </w:rPr>
        <w:t>, nuosekli</w:t>
      </w:r>
      <w:r w:rsidR="00E52649" w:rsidRPr="003A7155">
        <w:rPr>
          <w:sz w:val="22"/>
          <w:szCs w:val="22"/>
          <w:lang w:val="lt-LT"/>
        </w:rPr>
        <w:t>o</w:t>
      </w:r>
      <w:r w:rsidR="001F4420" w:rsidRPr="003A7155">
        <w:rPr>
          <w:sz w:val="22"/>
          <w:szCs w:val="22"/>
          <w:lang w:val="lt-LT"/>
        </w:rPr>
        <w:t xml:space="preserve">s </w:t>
      </w:r>
      <w:r w:rsidR="00204578" w:rsidRPr="003A7155">
        <w:rPr>
          <w:sz w:val="22"/>
          <w:szCs w:val="22"/>
          <w:lang w:val="lt-LT"/>
        </w:rPr>
        <w:t>žinut</w:t>
      </w:r>
      <w:r w:rsidR="00E52649" w:rsidRPr="003A7155">
        <w:rPr>
          <w:sz w:val="22"/>
          <w:szCs w:val="22"/>
          <w:lang w:val="lt-LT"/>
        </w:rPr>
        <w:t>ė</w:t>
      </w:r>
      <w:r w:rsidR="001F4420" w:rsidRPr="003A7155">
        <w:rPr>
          <w:sz w:val="22"/>
          <w:szCs w:val="22"/>
          <w:lang w:val="lt-LT"/>
        </w:rPr>
        <w:t>s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“, – sako </w:t>
      </w:r>
      <w:r w:rsidR="00EF2046" w:rsidRPr="003A7155">
        <w:rPr>
          <w:rFonts w:asciiTheme="minorHAnsi" w:eastAsia="Arial" w:hAnsiTheme="minorHAnsi" w:cs="Arial"/>
          <w:sz w:val="22"/>
          <w:szCs w:val="22"/>
          <w:lang w:val="lt-LT"/>
        </w:rPr>
        <w:t>B. Taputytė.</w:t>
      </w:r>
      <w:r w:rsidR="005A7A14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</w:p>
    <w:p w14:paraId="2825B139" w14:textId="228EA5AE" w:rsidR="000A55D8" w:rsidRPr="003A7155" w:rsidRDefault="005C6211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Pasak jos, ž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>odis „Vilnius“ dabar perteiktas naudojant tą pačią tipografiją kaip ir oficialaus miesto ženklo – tai sustiprina asociaciją su pačiu miestu, o ženklas tampa vieningesnės sostinės vizualinės tapatybės dalimi.</w:t>
      </w:r>
      <w:r w:rsidR="00DE18F0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  <w:r w:rsidR="009F75C0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Elementas 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>„GO“</w:t>
      </w:r>
      <w:r w:rsidR="00FE3C31" w:rsidRPr="003A7155">
        <w:rPr>
          <w:rFonts w:asciiTheme="minorHAnsi" w:eastAsia="Arial" w:hAnsiTheme="minorHAnsi" w:cs="Arial"/>
          <w:sz w:val="22"/>
          <w:szCs w:val="22"/>
          <w:lang w:val="lt-LT"/>
        </w:rPr>
        <w:t>,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įkomponuotas į apvalintą formą</w:t>
      </w:r>
      <w:r w:rsidR="00FE3C31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, 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>savo stiliumi primena šiuolaikinį komunikacijos simbolį</w:t>
      </w:r>
      <w:r w:rsidR="006465B4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– 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>tarsi kvietimo form</w:t>
      </w:r>
      <w:r w:rsidR="00E606DB" w:rsidRPr="003A7155">
        <w:rPr>
          <w:rFonts w:asciiTheme="minorHAnsi" w:eastAsia="Arial" w:hAnsiTheme="minorHAnsi" w:cs="Arial"/>
          <w:sz w:val="22"/>
          <w:szCs w:val="22"/>
          <w:lang w:val="lt-LT"/>
        </w:rPr>
        <w:t>a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, </w:t>
      </w:r>
      <w:r w:rsidR="006465B4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kuri 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>ragina atrasti Vilnių</w:t>
      </w:r>
      <w:r w:rsidR="007E65EE" w:rsidRPr="003A7155">
        <w:rPr>
          <w:rFonts w:asciiTheme="minorHAnsi" w:eastAsia="Arial" w:hAnsiTheme="minorHAnsi" w:cs="Arial"/>
          <w:sz w:val="22"/>
          <w:szCs w:val="22"/>
          <w:lang w:val="lt-LT"/>
        </w:rPr>
        <w:t>,</w:t>
      </w:r>
      <w:r w:rsidR="0085763B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įsitraukti į jo pasakojimą ir pažinti miestą.</w:t>
      </w:r>
    </w:p>
    <w:p w14:paraId="7E985A0A" w14:textId="442F02C4" w:rsidR="00E473DB" w:rsidRPr="003A7155" w:rsidRDefault="0085763B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„Naujasis logotipas kalba drąsesne vizualine kalba, tačiau išlieka ištikimas miesto tapatybei, atspindėdamas gyvo, šiuolaikiško, atviro ir veržlaus Vilniaus dvasią“, </w:t>
      </w:r>
      <w:r w:rsidR="002071B4" w:rsidRPr="003A7155">
        <w:rPr>
          <w:rFonts w:asciiTheme="minorHAnsi" w:eastAsia="Arial" w:hAnsiTheme="minorHAnsi" w:cs="Arial"/>
          <w:sz w:val="22"/>
          <w:szCs w:val="22"/>
          <w:lang w:val="lt-LT"/>
        </w:rPr>
        <w:t>–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  <w:r w:rsidR="005F3B36" w:rsidRPr="003A7155">
        <w:rPr>
          <w:rFonts w:asciiTheme="minorHAnsi" w:eastAsia="Arial" w:hAnsiTheme="minorHAnsi" w:cs="Arial"/>
          <w:sz w:val="22"/>
          <w:szCs w:val="22"/>
          <w:lang w:val="lt-LT"/>
        </w:rPr>
        <w:t>teigia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„Go Vilnius“ prekės ženklo vadovė.</w:t>
      </w:r>
    </w:p>
    <w:p w14:paraId="56990866" w14:textId="04CC1494" w:rsidR="00E473DB" w:rsidRPr="003A7155" w:rsidRDefault="00D46502" w:rsidP="00D55A90">
      <w:pPr>
        <w:spacing w:line="276" w:lineRule="auto"/>
        <w:jc w:val="both"/>
        <w:rPr>
          <w:rFonts w:asciiTheme="minorHAnsi" w:eastAsia="Arial" w:hAnsiTheme="minorHAnsi" w:cs="Arial"/>
          <w:b/>
          <w:bCs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b/>
          <w:bCs/>
          <w:sz w:val="22"/>
          <w:szCs w:val="22"/>
          <w:lang w:val="lt-LT"/>
        </w:rPr>
        <w:t>Apie organizaciją</w:t>
      </w:r>
    </w:p>
    <w:p w14:paraId="7063BE71" w14:textId="59EA489E" w:rsidR="00AD348D" w:rsidRPr="003A7155" w:rsidRDefault="0085763B" w:rsidP="00D55A90">
      <w:pPr>
        <w:spacing w:line="276" w:lineRule="auto"/>
        <w:jc w:val="both"/>
        <w:rPr>
          <w:rFonts w:asciiTheme="minorHAnsi" w:eastAsia="Arial" w:hAnsiTheme="minorHAnsi" w:cs="Arial"/>
          <w:sz w:val="22"/>
          <w:szCs w:val="22"/>
          <w:lang w:val="lt-LT"/>
        </w:rPr>
      </w:pP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„Go Vilnius“ yra oficiali Vilniaus miesto verslo ir turizmo plėtros agentūra, siekianti auginti miesto tarptautinį konkurencingumą. </w:t>
      </w:r>
      <w:r w:rsidR="00796ADA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Organizacija 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didina Vilniaus žinomumą</w:t>
      </w:r>
      <w:r w:rsidR="68089B01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ir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</w:t>
      </w:r>
      <w:r w:rsidR="32AA8122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patrauklumą, </w:t>
      </w:r>
      <w:r w:rsidRPr="003A7155">
        <w:rPr>
          <w:rFonts w:asciiTheme="minorHAnsi" w:eastAsia="Arial" w:hAnsiTheme="minorHAnsi" w:cs="Arial"/>
          <w:sz w:val="22"/>
          <w:szCs w:val="22"/>
          <w:lang w:val="lt-LT"/>
        </w:rPr>
        <w:t>formuoja miesto įvaizdį, skatina atvykstamojo turizmo, tarptautinių konferencijų, užsienio investicijų ir talentų augimą.</w:t>
      </w:r>
      <w:r w:rsidR="00D17D63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Susi</w:t>
      </w:r>
      <w:r w:rsidR="00796ADA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pažinti su „Go Vilniaus“ </w:t>
      </w:r>
      <w:r w:rsidR="00AD4F25" w:rsidRPr="003A7155">
        <w:rPr>
          <w:rFonts w:asciiTheme="minorHAnsi" w:eastAsia="Arial" w:hAnsiTheme="minorHAnsi" w:cs="Arial"/>
          <w:sz w:val="22"/>
          <w:szCs w:val="22"/>
          <w:lang w:val="lt-LT"/>
        </w:rPr>
        <w:t>veikla</w:t>
      </w:r>
      <w:r w:rsidR="00796ADA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 bei </w:t>
      </w:r>
      <w:r w:rsidR="00C64ED4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2024 m. </w:t>
      </w:r>
      <w:r w:rsidR="00AD4F25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jos </w:t>
      </w:r>
      <w:r w:rsidR="00C64ED4" w:rsidRPr="003A7155">
        <w:rPr>
          <w:rFonts w:asciiTheme="minorHAnsi" w:eastAsia="Arial" w:hAnsiTheme="minorHAnsi" w:cs="Arial"/>
          <w:sz w:val="22"/>
          <w:szCs w:val="22"/>
          <w:lang w:val="lt-LT"/>
        </w:rPr>
        <w:t xml:space="preserve">rezultatais galima </w:t>
      </w:r>
      <w:hyperlink r:id="rId7">
        <w:r w:rsidR="00C64ED4" w:rsidRPr="003A7155">
          <w:rPr>
            <w:rStyle w:val="Hyperlink"/>
            <w:rFonts w:asciiTheme="minorHAnsi" w:eastAsia="Arial" w:hAnsiTheme="minorHAnsi" w:cs="Arial"/>
            <w:sz w:val="22"/>
            <w:szCs w:val="22"/>
            <w:lang w:val="lt-LT"/>
          </w:rPr>
          <w:t>ČIA</w:t>
        </w:r>
      </w:hyperlink>
      <w:r w:rsidR="00C64ED4" w:rsidRPr="003A7155">
        <w:rPr>
          <w:rFonts w:asciiTheme="minorHAnsi" w:eastAsia="Arial" w:hAnsiTheme="minorHAnsi" w:cs="Arial"/>
          <w:sz w:val="22"/>
          <w:szCs w:val="22"/>
          <w:lang w:val="lt-LT"/>
        </w:rPr>
        <w:t>.</w:t>
      </w:r>
    </w:p>
    <w:sectPr w:rsidR="00AD348D" w:rsidRPr="003A7155">
      <w:pgSz w:w="11906" w:h="16838"/>
      <w:pgMar w:top="1440" w:right="1133" w:bottom="1440" w:left="1440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AF772766-CCB6-4669-8EFD-A0978C0E83FB}"/>
    <w:embedBold r:id="rId2" w:fontKey="{4AFC541C-BBB7-48F5-8F6A-C98D9241CDAB}"/>
    <w:embedItalic r:id="rId3" w:fontKey="{3283BC80-67C5-4DA2-B3CF-B64529A61942}"/>
    <w:embedBoldItalic r:id="rId4" w:fontKey="{2B5F5561-E575-41C7-80CA-A76C61AE0953}"/>
  </w:font>
  <w:font w:name="Play">
    <w:altName w:val="Calibri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FCC7C322-185E-4BD0-8AD6-4F49D26C8E8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02D85"/>
    <w:multiLevelType w:val="multilevel"/>
    <w:tmpl w:val="E73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F523D5"/>
    <w:multiLevelType w:val="multilevel"/>
    <w:tmpl w:val="CBA2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7328E2"/>
    <w:multiLevelType w:val="multilevel"/>
    <w:tmpl w:val="2338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7A68C0"/>
    <w:multiLevelType w:val="multilevel"/>
    <w:tmpl w:val="CF04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63849"/>
    <w:multiLevelType w:val="multilevel"/>
    <w:tmpl w:val="1EDC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A44E2B"/>
    <w:multiLevelType w:val="multilevel"/>
    <w:tmpl w:val="B48E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AD1AF4"/>
    <w:multiLevelType w:val="multilevel"/>
    <w:tmpl w:val="88C2E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0915590">
    <w:abstractNumId w:val="0"/>
  </w:num>
  <w:num w:numId="2" w16cid:durableId="657733371">
    <w:abstractNumId w:val="2"/>
  </w:num>
  <w:num w:numId="3" w16cid:durableId="849878432">
    <w:abstractNumId w:val="4"/>
  </w:num>
  <w:num w:numId="4" w16cid:durableId="1474910226">
    <w:abstractNumId w:val="6"/>
  </w:num>
  <w:num w:numId="5" w16cid:durableId="159321644">
    <w:abstractNumId w:val="1"/>
  </w:num>
  <w:num w:numId="6" w16cid:durableId="349914288">
    <w:abstractNumId w:val="3"/>
  </w:num>
  <w:num w:numId="7" w16cid:durableId="236286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D8"/>
    <w:rsid w:val="00011DF7"/>
    <w:rsid w:val="00012B59"/>
    <w:rsid w:val="00014294"/>
    <w:rsid w:val="000202A7"/>
    <w:rsid w:val="000238CE"/>
    <w:rsid w:val="00033F16"/>
    <w:rsid w:val="00040BC2"/>
    <w:rsid w:val="00047E03"/>
    <w:rsid w:val="0005228A"/>
    <w:rsid w:val="00054FA5"/>
    <w:rsid w:val="00061EFD"/>
    <w:rsid w:val="00070159"/>
    <w:rsid w:val="00072297"/>
    <w:rsid w:val="0008237E"/>
    <w:rsid w:val="00083F1D"/>
    <w:rsid w:val="0008568F"/>
    <w:rsid w:val="00086669"/>
    <w:rsid w:val="00094CBD"/>
    <w:rsid w:val="000961C4"/>
    <w:rsid w:val="000A0AD3"/>
    <w:rsid w:val="000A55D8"/>
    <w:rsid w:val="000B6082"/>
    <w:rsid w:val="000B7BCE"/>
    <w:rsid w:val="000C3A2E"/>
    <w:rsid w:val="000D5A0F"/>
    <w:rsid w:val="000E28B8"/>
    <w:rsid w:val="000E62B5"/>
    <w:rsid w:val="000E7890"/>
    <w:rsid w:val="000F2895"/>
    <w:rsid w:val="000F5B51"/>
    <w:rsid w:val="000F5BE4"/>
    <w:rsid w:val="000F611C"/>
    <w:rsid w:val="000F7EAD"/>
    <w:rsid w:val="0010796B"/>
    <w:rsid w:val="0011769C"/>
    <w:rsid w:val="001201F4"/>
    <w:rsid w:val="00121C6B"/>
    <w:rsid w:val="00125A03"/>
    <w:rsid w:val="00131CF6"/>
    <w:rsid w:val="00140BC2"/>
    <w:rsid w:val="0014451C"/>
    <w:rsid w:val="00150247"/>
    <w:rsid w:val="00153025"/>
    <w:rsid w:val="0015428E"/>
    <w:rsid w:val="00156FFD"/>
    <w:rsid w:val="00161B0F"/>
    <w:rsid w:val="00162029"/>
    <w:rsid w:val="00164410"/>
    <w:rsid w:val="001645E3"/>
    <w:rsid w:val="0018232E"/>
    <w:rsid w:val="00182DD7"/>
    <w:rsid w:val="00185E51"/>
    <w:rsid w:val="001900F1"/>
    <w:rsid w:val="001902BD"/>
    <w:rsid w:val="00195F7C"/>
    <w:rsid w:val="001971D4"/>
    <w:rsid w:val="001B0BB6"/>
    <w:rsid w:val="001B2645"/>
    <w:rsid w:val="001B4002"/>
    <w:rsid w:val="001B5EEA"/>
    <w:rsid w:val="001C380F"/>
    <w:rsid w:val="001D1966"/>
    <w:rsid w:val="001D2031"/>
    <w:rsid w:val="001D447D"/>
    <w:rsid w:val="001D4D81"/>
    <w:rsid w:val="001E4DC8"/>
    <w:rsid w:val="001E5E21"/>
    <w:rsid w:val="001E6F38"/>
    <w:rsid w:val="001F22B6"/>
    <w:rsid w:val="001F4420"/>
    <w:rsid w:val="00200D1C"/>
    <w:rsid w:val="00200DDA"/>
    <w:rsid w:val="00204578"/>
    <w:rsid w:val="002070EB"/>
    <w:rsid w:val="002071B4"/>
    <w:rsid w:val="002108D5"/>
    <w:rsid w:val="00213111"/>
    <w:rsid w:val="002133DF"/>
    <w:rsid w:val="00217F1B"/>
    <w:rsid w:val="00230B8B"/>
    <w:rsid w:val="00230E0F"/>
    <w:rsid w:val="002443A2"/>
    <w:rsid w:val="0025155C"/>
    <w:rsid w:val="0025709D"/>
    <w:rsid w:val="00262147"/>
    <w:rsid w:val="00262596"/>
    <w:rsid w:val="0026526D"/>
    <w:rsid w:val="00266DFD"/>
    <w:rsid w:val="00276ABF"/>
    <w:rsid w:val="002808E1"/>
    <w:rsid w:val="002837CD"/>
    <w:rsid w:val="00286C5C"/>
    <w:rsid w:val="00295754"/>
    <w:rsid w:val="002979FA"/>
    <w:rsid w:val="00297ADA"/>
    <w:rsid w:val="00297C77"/>
    <w:rsid w:val="002A635B"/>
    <w:rsid w:val="002A6DC8"/>
    <w:rsid w:val="002B472D"/>
    <w:rsid w:val="002B622E"/>
    <w:rsid w:val="002C11A4"/>
    <w:rsid w:val="002C3832"/>
    <w:rsid w:val="002C4628"/>
    <w:rsid w:val="002D205A"/>
    <w:rsid w:val="002D243B"/>
    <w:rsid w:val="002D35D9"/>
    <w:rsid w:val="002D3DA9"/>
    <w:rsid w:val="002D3EB5"/>
    <w:rsid w:val="002D48C8"/>
    <w:rsid w:val="002D64AE"/>
    <w:rsid w:val="002F3356"/>
    <w:rsid w:val="002F683B"/>
    <w:rsid w:val="003045B6"/>
    <w:rsid w:val="00313413"/>
    <w:rsid w:val="00313B33"/>
    <w:rsid w:val="00315E16"/>
    <w:rsid w:val="00316649"/>
    <w:rsid w:val="00321415"/>
    <w:rsid w:val="00323C2D"/>
    <w:rsid w:val="00330407"/>
    <w:rsid w:val="00331C63"/>
    <w:rsid w:val="00333426"/>
    <w:rsid w:val="00340D07"/>
    <w:rsid w:val="00345892"/>
    <w:rsid w:val="00346538"/>
    <w:rsid w:val="00350158"/>
    <w:rsid w:val="00355BA4"/>
    <w:rsid w:val="003576D8"/>
    <w:rsid w:val="00357FCA"/>
    <w:rsid w:val="003602B2"/>
    <w:rsid w:val="003604A2"/>
    <w:rsid w:val="00365ECD"/>
    <w:rsid w:val="00374000"/>
    <w:rsid w:val="003744A9"/>
    <w:rsid w:val="00374D4E"/>
    <w:rsid w:val="00381B95"/>
    <w:rsid w:val="00381BB2"/>
    <w:rsid w:val="00383EE7"/>
    <w:rsid w:val="0038779E"/>
    <w:rsid w:val="00387F52"/>
    <w:rsid w:val="00391394"/>
    <w:rsid w:val="0039474D"/>
    <w:rsid w:val="00396269"/>
    <w:rsid w:val="003A7155"/>
    <w:rsid w:val="003B5B59"/>
    <w:rsid w:val="003C4181"/>
    <w:rsid w:val="003C5000"/>
    <w:rsid w:val="003C7439"/>
    <w:rsid w:val="003D30BA"/>
    <w:rsid w:val="003D7532"/>
    <w:rsid w:val="003E45F3"/>
    <w:rsid w:val="003F0728"/>
    <w:rsid w:val="003F4FB1"/>
    <w:rsid w:val="003F7B63"/>
    <w:rsid w:val="003F7E6C"/>
    <w:rsid w:val="00400FA2"/>
    <w:rsid w:val="00405983"/>
    <w:rsid w:val="00407B10"/>
    <w:rsid w:val="00411C01"/>
    <w:rsid w:val="00412595"/>
    <w:rsid w:val="00417646"/>
    <w:rsid w:val="00422A50"/>
    <w:rsid w:val="00424965"/>
    <w:rsid w:val="0042753B"/>
    <w:rsid w:val="00430799"/>
    <w:rsid w:val="00436553"/>
    <w:rsid w:val="0044557C"/>
    <w:rsid w:val="00445E48"/>
    <w:rsid w:val="00446756"/>
    <w:rsid w:val="004522B1"/>
    <w:rsid w:val="004523AF"/>
    <w:rsid w:val="004606C5"/>
    <w:rsid w:val="00471BDF"/>
    <w:rsid w:val="00474C34"/>
    <w:rsid w:val="00476980"/>
    <w:rsid w:val="004865D4"/>
    <w:rsid w:val="00492624"/>
    <w:rsid w:val="004941C6"/>
    <w:rsid w:val="00494A5F"/>
    <w:rsid w:val="004950DD"/>
    <w:rsid w:val="004A2757"/>
    <w:rsid w:val="004A6E96"/>
    <w:rsid w:val="004B5E9F"/>
    <w:rsid w:val="004B602B"/>
    <w:rsid w:val="004B6092"/>
    <w:rsid w:val="004C2979"/>
    <w:rsid w:val="004C2D0A"/>
    <w:rsid w:val="004E2258"/>
    <w:rsid w:val="004F1A4B"/>
    <w:rsid w:val="0050039B"/>
    <w:rsid w:val="00514F7A"/>
    <w:rsid w:val="005159AC"/>
    <w:rsid w:val="00516668"/>
    <w:rsid w:val="005179DC"/>
    <w:rsid w:val="00520F91"/>
    <w:rsid w:val="00531A44"/>
    <w:rsid w:val="005347A9"/>
    <w:rsid w:val="00540B99"/>
    <w:rsid w:val="00543C92"/>
    <w:rsid w:val="0054546F"/>
    <w:rsid w:val="00545574"/>
    <w:rsid w:val="00546DE1"/>
    <w:rsid w:val="0055192C"/>
    <w:rsid w:val="00553ED7"/>
    <w:rsid w:val="00560624"/>
    <w:rsid w:val="00562FE5"/>
    <w:rsid w:val="005652A4"/>
    <w:rsid w:val="0057049B"/>
    <w:rsid w:val="00573412"/>
    <w:rsid w:val="00575402"/>
    <w:rsid w:val="0058232B"/>
    <w:rsid w:val="00587035"/>
    <w:rsid w:val="00590D20"/>
    <w:rsid w:val="005A0497"/>
    <w:rsid w:val="005A737F"/>
    <w:rsid w:val="005A7A14"/>
    <w:rsid w:val="005B002E"/>
    <w:rsid w:val="005C1838"/>
    <w:rsid w:val="005C55BE"/>
    <w:rsid w:val="005C6211"/>
    <w:rsid w:val="005C7523"/>
    <w:rsid w:val="005D74F3"/>
    <w:rsid w:val="005D7627"/>
    <w:rsid w:val="005E706E"/>
    <w:rsid w:val="005E7470"/>
    <w:rsid w:val="005E7A35"/>
    <w:rsid w:val="005F3B36"/>
    <w:rsid w:val="005F5805"/>
    <w:rsid w:val="005F6B72"/>
    <w:rsid w:val="00603288"/>
    <w:rsid w:val="00604853"/>
    <w:rsid w:val="0061050F"/>
    <w:rsid w:val="0061467A"/>
    <w:rsid w:val="0061613F"/>
    <w:rsid w:val="006171BB"/>
    <w:rsid w:val="006177B1"/>
    <w:rsid w:val="006209E6"/>
    <w:rsid w:val="00622874"/>
    <w:rsid w:val="006258F2"/>
    <w:rsid w:val="006266F5"/>
    <w:rsid w:val="00632A05"/>
    <w:rsid w:val="006404B0"/>
    <w:rsid w:val="00640E4A"/>
    <w:rsid w:val="0064334B"/>
    <w:rsid w:val="00643807"/>
    <w:rsid w:val="006465B4"/>
    <w:rsid w:val="00654A76"/>
    <w:rsid w:val="0065790B"/>
    <w:rsid w:val="00670D80"/>
    <w:rsid w:val="00672586"/>
    <w:rsid w:val="00672982"/>
    <w:rsid w:val="00672C76"/>
    <w:rsid w:val="00680CCC"/>
    <w:rsid w:val="006864AA"/>
    <w:rsid w:val="006868AB"/>
    <w:rsid w:val="00691E46"/>
    <w:rsid w:val="00694129"/>
    <w:rsid w:val="00695FC9"/>
    <w:rsid w:val="00696C0A"/>
    <w:rsid w:val="006A0357"/>
    <w:rsid w:val="006A48F5"/>
    <w:rsid w:val="006B43A6"/>
    <w:rsid w:val="006B7061"/>
    <w:rsid w:val="006C41E2"/>
    <w:rsid w:val="006C561E"/>
    <w:rsid w:val="006C5ACE"/>
    <w:rsid w:val="006C7C68"/>
    <w:rsid w:val="006C7F3A"/>
    <w:rsid w:val="006D137B"/>
    <w:rsid w:val="006D6111"/>
    <w:rsid w:val="006E27BC"/>
    <w:rsid w:val="006E3B28"/>
    <w:rsid w:val="00703739"/>
    <w:rsid w:val="00711BFD"/>
    <w:rsid w:val="00712C41"/>
    <w:rsid w:val="007350F4"/>
    <w:rsid w:val="00735C58"/>
    <w:rsid w:val="0073756A"/>
    <w:rsid w:val="007402F4"/>
    <w:rsid w:val="00741856"/>
    <w:rsid w:val="007453F0"/>
    <w:rsid w:val="0074756E"/>
    <w:rsid w:val="00753945"/>
    <w:rsid w:val="00754BFC"/>
    <w:rsid w:val="00756A90"/>
    <w:rsid w:val="00756C74"/>
    <w:rsid w:val="00766672"/>
    <w:rsid w:val="007751E3"/>
    <w:rsid w:val="00787675"/>
    <w:rsid w:val="00791BAE"/>
    <w:rsid w:val="00792587"/>
    <w:rsid w:val="00796275"/>
    <w:rsid w:val="00796ADA"/>
    <w:rsid w:val="007A093D"/>
    <w:rsid w:val="007A203D"/>
    <w:rsid w:val="007A5AEC"/>
    <w:rsid w:val="007B28AB"/>
    <w:rsid w:val="007C4386"/>
    <w:rsid w:val="007C61E3"/>
    <w:rsid w:val="007D25EA"/>
    <w:rsid w:val="007D6CBF"/>
    <w:rsid w:val="007E2FE5"/>
    <w:rsid w:val="007E59A0"/>
    <w:rsid w:val="007E65EE"/>
    <w:rsid w:val="007E7897"/>
    <w:rsid w:val="007F44BA"/>
    <w:rsid w:val="0080057E"/>
    <w:rsid w:val="00804686"/>
    <w:rsid w:val="00806AE7"/>
    <w:rsid w:val="00810E75"/>
    <w:rsid w:val="008232D0"/>
    <w:rsid w:val="008249AD"/>
    <w:rsid w:val="00830CCF"/>
    <w:rsid w:val="00831A96"/>
    <w:rsid w:val="00831AB0"/>
    <w:rsid w:val="0083424C"/>
    <w:rsid w:val="008412A9"/>
    <w:rsid w:val="00853E76"/>
    <w:rsid w:val="008544BE"/>
    <w:rsid w:val="0085763B"/>
    <w:rsid w:val="00870A8F"/>
    <w:rsid w:val="00871589"/>
    <w:rsid w:val="00873946"/>
    <w:rsid w:val="0088199F"/>
    <w:rsid w:val="00890113"/>
    <w:rsid w:val="00891999"/>
    <w:rsid w:val="0089413D"/>
    <w:rsid w:val="008A2755"/>
    <w:rsid w:val="008A2EC0"/>
    <w:rsid w:val="008A440D"/>
    <w:rsid w:val="008A49A0"/>
    <w:rsid w:val="008A7034"/>
    <w:rsid w:val="008B50C0"/>
    <w:rsid w:val="008C3799"/>
    <w:rsid w:val="008C46AA"/>
    <w:rsid w:val="008E1A8F"/>
    <w:rsid w:val="008E2853"/>
    <w:rsid w:val="008E356D"/>
    <w:rsid w:val="008F4BAC"/>
    <w:rsid w:val="008F6DB3"/>
    <w:rsid w:val="00911215"/>
    <w:rsid w:val="009120E1"/>
    <w:rsid w:val="00917C69"/>
    <w:rsid w:val="009208F0"/>
    <w:rsid w:val="00921169"/>
    <w:rsid w:val="0094479F"/>
    <w:rsid w:val="00945C97"/>
    <w:rsid w:val="009525A6"/>
    <w:rsid w:val="0096267E"/>
    <w:rsid w:val="009648BE"/>
    <w:rsid w:val="00971AD9"/>
    <w:rsid w:val="009814C6"/>
    <w:rsid w:val="009830FE"/>
    <w:rsid w:val="00994728"/>
    <w:rsid w:val="00994988"/>
    <w:rsid w:val="00996E11"/>
    <w:rsid w:val="00996F3E"/>
    <w:rsid w:val="009A25A1"/>
    <w:rsid w:val="009A4EB3"/>
    <w:rsid w:val="009B0651"/>
    <w:rsid w:val="009B1251"/>
    <w:rsid w:val="009B33DD"/>
    <w:rsid w:val="009B4C02"/>
    <w:rsid w:val="009B6554"/>
    <w:rsid w:val="009C2437"/>
    <w:rsid w:val="009D10FD"/>
    <w:rsid w:val="009D3052"/>
    <w:rsid w:val="009D4CE1"/>
    <w:rsid w:val="009D699B"/>
    <w:rsid w:val="009D7C11"/>
    <w:rsid w:val="009D7E8C"/>
    <w:rsid w:val="009E6B10"/>
    <w:rsid w:val="009F0599"/>
    <w:rsid w:val="009F172C"/>
    <w:rsid w:val="009F75C0"/>
    <w:rsid w:val="00A01C8A"/>
    <w:rsid w:val="00A04BFC"/>
    <w:rsid w:val="00A05029"/>
    <w:rsid w:val="00A051F1"/>
    <w:rsid w:val="00A10C2B"/>
    <w:rsid w:val="00A21FF0"/>
    <w:rsid w:val="00A27ACC"/>
    <w:rsid w:val="00A30399"/>
    <w:rsid w:val="00A34B7D"/>
    <w:rsid w:val="00A3559B"/>
    <w:rsid w:val="00A436BD"/>
    <w:rsid w:val="00A4628A"/>
    <w:rsid w:val="00A501D0"/>
    <w:rsid w:val="00A539CE"/>
    <w:rsid w:val="00A5402B"/>
    <w:rsid w:val="00A622D3"/>
    <w:rsid w:val="00A62EB0"/>
    <w:rsid w:val="00A72F92"/>
    <w:rsid w:val="00A77D3E"/>
    <w:rsid w:val="00A83DD7"/>
    <w:rsid w:val="00A87A9F"/>
    <w:rsid w:val="00A90323"/>
    <w:rsid w:val="00A90F91"/>
    <w:rsid w:val="00A9745D"/>
    <w:rsid w:val="00AA041B"/>
    <w:rsid w:val="00AA194A"/>
    <w:rsid w:val="00AA6AA3"/>
    <w:rsid w:val="00AC108A"/>
    <w:rsid w:val="00AC6E45"/>
    <w:rsid w:val="00AD348D"/>
    <w:rsid w:val="00AD4F25"/>
    <w:rsid w:val="00AD6587"/>
    <w:rsid w:val="00AE0755"/>
    <w:rsid w:val="00AE1C1C"/>
    <w:rsid w:val="00AF1D7B"/>
    <w:rsid w:val="00AF2260"/>
    <w:rsid w:val="00AF6D45"/>
    <w:rsid w:val="00B01FEA"/>
    <w:rsid w:val="00B07FE3"/>
    <w:rsid w:val="00B128D3"/>
    <w:rsid w:val="00B15BB6"/>
    <w:rsid w:val="00B22EEE"/>
    <w:rsid w:val="00B30380"/>
    <w:rsid w:val="00B33649"/>
    <w:rsid w:val="00B34A41"/>
    <w:rsid w:val="00B50D31"/>
    <w:rsid w:val="00B54454"/>
    <w:rsid w:val="00B54657"/>
    <w:rsid w:val="00B6211A"/>
    <w:rsid w:val="00B62A55"/>
    <w:rsid w:val="00B66639"/>
    <w:rsid w:val="00B728C7"/>
    <w:rsid w:val="00B77C84"/>
    <w:rsid w:val="00B8033F"/>
    <w:rsid w:val="00B9462F"/>
    <w:rsid w:val="00B97E9E"/>
    <w:rsid w:val="00BA5D8B"/>
    <w:rsid w:val="00BB0467"/>
    <w:rsid w:val="00BB2727"/>
    <w:rsid w:val="00BB4B6D"/>
    <w:rsid w:val="00BB70BB"/>
    <w:rsid w:val="00BC4418"/>
    <w:rsid w:val="00BC4959"/>
    <w:rsid w:val="00BD23AF"/>
    <w:rsid w:val="00BD2CF6"/>
    <w:rsid w:val="00BE631C"/>
    <w:rsid w:val="00BE6A65"/>
    <w:rsid w:val="00BE7DB2"/>
    <w:rsid w:val="00BF063E"/>
    <w:rsid w:val="00BF5975"/>
    <w:rsid w:val="00BF5BD9"/>
    <w:rsid w:val="00BF733E"/>
    <w:rsid w:val="00C10D34"/>
    <w:rsid w:val="00C15FF4"/>
    <w:rsid w:val="00C23782"/>
    <w:rsid w:val="00C239EF"/>
    <w:rsid w:val="00C2764A"/>
    <w:rsid w:val="00C37E63"/>
    <w:rsid w:val="00C4611E"/>
    <w:rsid w:val="00C46981"/>
    <w:rsid w:val="00C52583"/>
    <w:rsid w:val="00C56D81"/>
    <w:rsid w:val="00C577DF"/>
    <w:rsid w:val="00C60DD5"/>
    <w:rsid w:val="00C6267E"/>
    <w:rsid w:val="00C64ED4"/>
    <w:rsid w:val="00C66EB7"/>
    <w:rsid w:val="00C67A74"/>
    <w:rsid w:val="00C71D10"/>
    <w:rsid w:val="00C74CD0"/>
    <w:rsid w:val="00C773F0"/>
    <w:rsid w:val="00C776C3"/>
    <w:rsid w:val="00C8124D"/>
    <w:rsid w:val="00C83BC7"/>
    <w:rsid w:val="00C8461C"/>
    <w:rsid w:val="00C84C67"/>
    <w:rsid w:val="00C87DFD"/>
    <w:rsid w:val="00C90E5D"/>
    <w:rsid w:val="00C97DAD"/>
    <w:rsid w:val="00CA3C86"/>
    <w:rsid w:val="00CA426D"/>
    <w:rsid w:val="00CB0BA7"/>
    <w:rsid w:val="00CB2D64"/>
    <w:rsid w:val="00CC0B32"/>
    <w:rsid w:val="00CC74C7"/>
    <w:rsid w:val="00CD08D8"/>
    <w:rsid w:val="00CD2878"/>
    <w:rsid w:val="00CD2CEC"/>
    <w:rsid w:val="00CE4C92"/>
    <w:rsid w:val="00CE6383"/>
    <w:rsid w:val="00CF1F6F"/>
    <w:rsid w:val="00CF7C43"/>
    <w:rsid w:val="00CF7CA9"/>
    <w:rsid w:val="00D06323"/>
    <w:rsid w:val="00D0762B"/>
    <w:rsid w:val="00D13AA9"/>
    <w:rsid w:val="00D14677"/>
    <w:rsid w:val="00D17D63"/>
    <w:rsid w:val="00D22FF1"/>
    <w:rsid w:val="00D26858"/>
    <w:rsid w:val="00D34435"/>
    <w:rsid w:val="00D35599"/>
    <w:rsid w:val="00D366D2"/>
    <w:rsid w:val="00D40281"/>
    <w:rsid w:val="00D4208A"/>
    <w:rsid w:val="00D46502"/>
    <w:rsid w:val="00D471ED"/>
    <w:rsid w:val="00D4781B"/>
    <w:rsid w:val="00D47AD9"/>
    <w:rsid w:val="00D52B74"/>
    <w:rsid w:val="00D55A90"/>
    <w:rsid w:val="00D62C12"/>
    <w:rsid w:val="00D66E3C"/>
    <w:rsid w:val="00D72EB4"/>
    <w:rsid w:val="00D7334D"/>
    <w:rsid w:val="00D74086"/>
    <w:rsid w:val="00D7726E"/>
    <w:rsid w:val="00D84378"/>
    <w:rsid w:val="00D9127B"/>
    <w:rsid w:val="00D94C94"/>
    <w:rsid w:val="00DA0619"/>
    <w:rsid w:val="00DA4867"/>
    <w:rsid w:val="00DA5DBC"/>
    <w:rsid w:val="00DA76CE"/>
    <w:rsid w:val="00DB3BE9"/>
    <w:rsid w:val="00DD0F61"/>
    <w:rsid w:val="00DE18F0"/>
    <w:rsid w:val="00DE27E3"/>
    <w:rsid w:val="00DF1684"/>
    <w:rsid w:val="00DF1A54"/>
    <w:rsid w:val="00E03A61"/>
    <w:rsid w:val="00E0448D"/>
    <w:rsid w:val="00E05C56"/>
    <w:rsid w:val="00E11870"/>
    <w:rsid w:val="00E20AB1"/>
    <w:rsid w:val="00E24015"/>
    <w:rsid w:val="00E3025F"/>
    <w:rsid w:val="00E32747"/>
    <w:rsid w:val="00E341FC"/>
    <w:rsid w:val="00E376CC"/>
    <w:rsid w:val="00E42802"/>
    <w:rsid w:val="00E42A79"/>
    <w:rsid w:val="00E45E9F"/>
    <w:rsid w:val="00E473DB"/>
    <w:rsid w:val="00E50023"/>
    <w:rsid w:val="00E51364"/>
    <w:rsid w:val="00E52649"/>
    <w:rsid w:val="00E52F8C"/>
    <w:rsid w:val="00E54FA5"/>
    <w:rsid w:val="00E606DB"/>
    <w:rsid w:val="00E62401"/>
    <w:rsid w:val="00E67CD7"/>
    <w:rsid w:val="00E71474"/>
    <w:rsid w:val="00E7565B"/>
    <w:rsid w:val="00E812A9"/>
    <w:rsid w:val="00E93E42"/>
    <w:rsid w:val="00EA2AC3"/>
    <w:rsid w:val="00EA7F14"/>
    <w:rsid w:val="00EC43F7"/>
    <w:rsid w:val="00EC7FA6"/>
    <w:rsid w:val="00ED384D"/>
    <w:rsid w:val="00EE07A5"/>
    <w:rsid w:val="00EE281C"/>
    <w:rsid w:val="00EF09F0"/>
    <w:rsid w:val="00EF0C6D"/>
    <w:rsid w:val="00EF2046"/>
    <w:rsid w:val="00EF56BE"/>
    <w:rsid w:val="00F007A9"/>
    <w:rsid w:val="00F018A3"/>
    <w:rsid w:val="00F02783"/>
    <w:rsid w:val="00F056A9"/>
    <w:rsid w:val="00F2371B"/>
    <w:rsid w:val="00F30047"/>
    <w:rsid w:val="00F302B1"/>
    <w:rsid w:val="00F3416A"/>
    <w:rsid w:val="00F400D3"/>
    <w:rsid w:val="00F417FB"/>
    <w:rsid w:val="00F42F16"/>
    <w:rsid w:val="00F44768"/>
    <w:rsid w:val="00F55AD4"/>
    <w:rsid w:val="00F55C34"/>
    <w:rsid w:val="00F65003"/>
    <w:rsid w:val="00F65743"/>
    <w:rsid w:val="00F67E4C"/>
    <w:rsid w:val="00F70EC9"/>
    <w:rsid w:val="00F72E48"/>
    <w:rsid w:val="00F74D67"/>
    <w:rsid w:val="00F75764"/>
    <w:rsid w:val="00F90346"/>
    <w:rsid w:val="00F928BE"/>
    <w:rsid w:val="00FA4DC6"/>
    <w:rsid w:val="00FA520C"/>
    <w:rsid w:val="00FB425E"/>
    <w:rsid w:val="00FC1AAD"/>
    <w:rsid w:val="00FC3550"/>
    <w:rsid w:val="00FC3D16"/>
    <w:rsid w:val="00FC6217"/>
    <w:rsid w:val="00FE2B69"/>
    <w:rsid w:val="00FE3B4F"/>
    <w:rsid w:val="00FE3C31"/>
    <w:rsid w:val="00FF07F0"/>
    <w:rsid w:val="00FF32C4"/>
    <w:rsid w:val="00FF5429"/>
    <w:rsid w:val="00FF5C0F"/>
    <w:rsid w:val="01B6E5CA"/>
    <w:rsid w:val="07508D4D"/>
    <w:rsid w:val="0808E1EE"/>
    <w:rsid w:val="08BA6521"/>
    <w:rsid w:val="0980A18F"/>
    <w:rsid w:val="0A042853"/>
    <w:rsid w:val="0A9CD1DA"/>
    <w:rsid w:val="0C3069FA"/>
    <w:rsid w:val="0D3AC4F2"/>
    <w:rsid w:val="0DA334DE"/>
    <w:rsid w:val="0DA9DF24"/>
    <w:rsid w:val="0DE9232F"/>
    <w:rsid w:val="1383BA54"/>
    <w:rsid w:val="15E150FF"/>
    <w:rsid w:val="16AEE76F"/>
    <w:rsid w:val="17BBF7A7"/>
    <w:rsid w:val="18360808"/>
    <w:rsid w:val="19AB3802"/>
    <w:rsid w:val="1A19EC18"/>
    <w:rsid w:val="1B636D37"/>
    <w:rsid w:val="1C8CB66D"/>
    <w:rsid w:val="1DBDEE1E"/>
    <w:rsid w:val="203713D2"/>
    <w:rsid w:val="20E1A460"/>
    <w:rsid w:val="2378BFFD"/>
    <w:rsid w:val="23D7F573"/>
    <w:rsid w:val="254C6170"/>
    <w:rsid w:val="266F22D9"/>
    <w:rsid w:val="289684A6"/>
    <w:rsid w:val="28FFAB13"/>
    <w:rsid w:val="299E6350"/>
    <w:rsid w:val="29DEA37D"/>
    <w:rsid w:val="29EE2F7E"/>
    <w:rsid w:val="2A8B1F98"/>
    <w:rsid w:val="2B86BD7F"/>
    <w:rsid w:val="2BC4A1D3"/>
    <w:rsid w:val="2BDDD923"/>
    <w:rsid w:val="2E931D34"/>
    <w:rsid w:val="32AA8122"/>
    <w:rsid w:val="33AF2214"/>
    <w:rsid w:val="35369EB4"/>
    <w:rsid w:val="35BC2718"/>
    <w:rsid w:val="3798100F"/>
    <w:rsid w:val="3932A7D5"/>
    <w:rsid w:val="3A4D0272"/>
    <w:rsid w:val="3B74F0EA"/>
    <w:rsid w:val="3BFCF7EC"/>
    <w:rsid w:val="3C90DE0A"/>
    <w:rsid w:val="3EB76232"/>
    <w:rsid w:val="405B18ED"/>
    <w:rsid w:val="40B39FBC"/>
    <w:rsid w:val="42FFA1D6"/>
    <w:rsid w:val="4477D17E"/>
    <w:rsid w:val="458FD9F2"/>
    <w:rsid w:val="462DAD56"/>
    <w:rsid w:val="483BC03E"/>
    <w:rsid w:val="486CE514"/>
    <w:rsid w:val="48CC5EEB"/>
    <w:rsid w:val="49656452"/>
    <w:rsid w:val="49879266"/>
    <w:rsid w:val="4CD8E170"/>
    <w:rsid w:val="4DE560FD"/>
    <w:rsid w:val="4FFF42A6"/>
    <w:rsid w:val="512101BE"/>
    <w:rsid w:val="512F39D2"/>
    <w:rsid w:val="552A6A41"/>
    <w:rsid w:val="58B474F9"/>
    <w:rsid w:val="599F15C6"/>
    <w:rsid w:val="59BDDEBA"/>
    <w:rsid w:val="5D539F80"/>
    <w:rsid w:val="5E56EF1C"/>
    <w:rsid w:val="5E8F9A9C"/>
    <w:rsid w:val="6232E15E"/>
    <w:rsid w:val="626DB778"/>
    <w:rsid w:val="642202F2"/>
    <w:rsid w:val="645590BE"/>
    <w:rsid w:val="64C37DE2"/>
    <w:rsid w:val="65DC3067"/>
    <w:rsid w:val="68027A7A"/>
    <w:rsid w:val="68089B01"/>
    <w:rsid w:val="68DEED73"/>
    <w:rsid w:val="6959D307"/>
    <w:rsid w:val="6A233739"/>
    <w:rsid w:val="6A268994"/>
    <w:rsid w:val="6AD3D821"/>
    <w:rsid w:val="6B40D766"/>
    <w:rsid w:val="6D13C573"/>
    <w:rsid w:val="6D959633"/>
    <w:rsid w:val="6EE3260C"/>
    <w:rsid w:val="6F3A8DF1"/>
    <w:rsid w:val="6F60D5C7"/>
    <w:rsid w:val="6FE03FAB"/>
    <w:rsid w:val="701B6264"/>
    <w:rsid w:val="7162B914"/>
    <w:rsid w:val="73E931C9"/>
    <w:rsid w:val="745B9C5E"/>
    <w:rsid w:val="760DA1D1"/>
    <w:rsid w:val="77A96C85"/>
    <w:rsid w:val="786DCA5A"/>
    <w:rsid w:val="78B7537B"/>
    <w:rsid w:val="7C8ECAC8"/>
    <w:rsid w:val="7C940060"/>
    <w:rsid w:val="7D43B327"/>
    <w:rsid w:val="7D884CD1"/>
    <w:rsid w:val="7E414DFB"/>
    <w:rsid w:val="7EA3C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B131"/>
  <w15:docId w15:val="{1281E07A-6C51-4572-AA2B-EB6017D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lt" w:eastAsia="lt-LT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26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6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6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6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6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6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6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6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6C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232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232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6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6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6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6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6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6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1D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D8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C64ED4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C0B3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02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136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62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9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issuu.com/govilnius/docs/go_vilnius_2024_metin_veiklos_ataskaita?fr=xIAEoAT3_MzM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BOVlP4juGYtTwUeKN53uIDL5+A==">CgMxLjA4AHIhMUNFTWw4eURiYks3RjJERFA2RHBwZzJ6SFZ5RGF6cl80</go:docsCustomData>
</go:gDocsCustomXmlDataStorage>
</file>

<file path=customXml/itemProps1.xml><?xml version="1.0" encoding="utf-8"?>
<ds:datastoreItem xmlns:ds="http://schemas.openxmlformats.org/officeDocument/2006/customXml" ds:itemID="{2C0F2076-956D-4B6A-8A02-43CA9B64A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4114</TotalTime>
  <Pages>1</Pages>
  <Words>2464</Words>
  <Characters>1405</Characters>
  <Application>Microsoft Office Word</Application>
  <DocSecurity>4</DocSecurity>
  <Lines>11</Lines>
  <Paragraphs>7</Paragraphs>
  <ScaleCrop>false</ScaleCrop>
  <Company/>
  <LinksUpToDate>false</LinksUpToDate>
  <CharactersWithSpaces>3862</CharactersWithSpaces>
  <SharedDoc>false</SharedDoc>
  <HLinks>
    <vt:vector size="6" baseType="variant">
      <vt:variant>
        <vt:i4>5701707</vt:i4>
      </vt:variant>
      <vt:variant>
        <vt:i4>0</vt:i4>
      </vt:variant>
      <vt:variant>
        <vt:i4>0</vt:i4>
      </vt:variant>
      <vt:variant>
        <vt:i4>5</vt:i4>
      </vt:variant>
      <vt:variant>
        <vt:lpwstr>https://issuu.com/govilnius/docs/go_vilnius_2024_metin_veiklos_ataskaita?fr=xIAEoAT3_MzMz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Grigaitė</dc:creator>
  <cp:keywords/>
  <cp:lastModifiedBy>Rasa Grigaitė</cp:lastModifiedBy>
  <cp:revision>600</cp:revision>
  <dcterms:created xsi:type="dcterms:W3CDTF">2025-07-08T05:44:00Z</dcterms:created>
  <dcterms:modified xsi:type="dcterms:W3CDTF">2025-07-22T06:44:00Z</dcterms:modified>
</cp:coreProperties>
</file>