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74873" w:rsidRDefault="000A5986">
      <w:pPr>
        <w:tabs>
          <w:tab w:val="left" w:pos="2760"/>
        </w:tabs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ab/>
      </w:r>
    </w:p>
    <w:p w14:paraId="00000002" w14:textId="77777777" w:rsidR="00074873" w:rsidRDefault="000A5986">
      <w:pPr>
        <w:tabs>
          <w:tab w:val="left" w:pos="3590"/>
          <w:tab w:val="left" w:pos="9072"/>
        </w:tabs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ab/>
      </w:r>
    </w:p>
    <w:p w14:paraId="00000003" w14:textId="77777777" w:rsidR="00074873" w:rsidRDefault="00074873">
      <w:pPr>
        <w:spacing w:after="0" w:line="276" w:lineRule="auto"/>
        <w:rPr>
          <w:rFonts w:ascii="Tahoma" w:eastAsia="Tahoma" w:hAnsi="Tahoma" w:cs="Tahoma"/>
        </w:rPr>
      </w:pPr>
    </w:p>
    <w:p w14:paraId="00000004" w14:textId="77777777" w:rsidR="00074873" w:rsidRDefault="00074873">
      <w:pPr>
        <w:spacing w:after="120" w:line="276" w:lineRule="auto"/>
        <w:rPr>
          <w:rFonts w:ascii="Tahoma" w:eastAsia="Tahoma" w:hAnsi="Tahoma" w:cs="Tahoma"/>
        </w:rPr>
      </w:pPr>
    </w:p>
    <w:p w14:paraId="00000005" w14:textId="0A46A074" w:rsidR="00074873" w:rsidRDefault="000A5986">
      <w:pPr>
        <w:pBdr>
          <w:top w:val="nil"/>
          <w:left w:val="nil"/>
          <w:bottom w:val="nil"/>
          <w:right w:val="nil"/>
          <w:between w:val="nil"/>
        </w:pBdr>
        <w:spacing w:before="120" w:after="280" w:line="276" w:lineRule="auto"/>
        <w:rPr>
          <w:b/>
          <w:color w:val="000000"/>
          <w:sz w:val="28"/>
          <w:szCs w:val="28"/>
        </w:rPr>
      </w:pPr>
      <w:r>
        <w:rPr>
          <w:i/>
          <w:color w:val="000000"/>
        </w:rPr>
        <w:t>Pranešimas žiniasklaidai</w:t>
      </w:r>
      <w:r>
        <w:rPr>
          <w:i/>
          <w:color w:val="000000"/>
        </w:rPr>
        <w:br/>
        <w:t xml:space="preserve">2025 m. </w:t>
      </w:r>
      <w:r w:rsidR="00A773D5">
        <w:rPr>
          <w:i/>
          <w:color w:val="000000"/>
        </w:rPr>
        <w:t>liepos</w:t>
      </w:r>
      <w:r>
        <w:rPr>
          <w:i/>
          <w:color w:val="000000"/>
        </w:rPr>
        <w:t xml:space="preserve"> </w:t>
      </w:r>
      <w:r w:rsidR="006A5238">
        <w:rPr>
          <w:i/>
          <w:color w:val="000000"/>
        </w:rPr>
        <w:t>29</w:t>
      </w:r>
      <w:r>
        <w:rPr>
          <w:i/>
          <w:color w:val="000000"/>
        </w:rPr>
        <w:t xml:space="preserve"> d.</w:t>
      </w:r>
    </w:p>
    <w:p w14:paraId="43F27671" w14:textId="6C56C9D0" w:rsidR="002612F3" w:rsidRDefault="002612F3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  <w:sz w:val="28"/>
          <w:szCs w:val="28"/>
        </w:rPr>
      </w:pPr>
      <w:r w:rsidRPr="002612F3">
        <w:rPr>
          <w:b/>
          <w:color w:val="000000"/>
          <w:sz w:val="28"/>
          <w:szCs w:val="28"/>
        </w:rPr>
        <w:t xml:space="preserve">Apgaulingi </w:t>
      </w:r>
      <w:r>
        <w:rPr>
          <w:b/>
          <w:color w:val="000000"/>
          <w:sz w:val="28"/>
          <w:szCs w:val="28"/>
        </w:rPr>
        <w:t xml:space="preserve">el. </w:t>
      </w:r>
      <w:r w:rsidRPr="002612F3">
        <w:rPr>
          <w:b/>
          <w:color w:val="000000"/>
          <w:sz w:val="28"/>
          <w:szCs w:val="28"/>
        </w:rPr>
        <w:t>laiškai vilioja tariamomis išmokomis: kaip atpažinti sukčius?</w:t>
      </w:r>
    </w:p>
    <w:p w14:paraId="512CFF29" w14:textId="5DA5FD47" w:rsidR="00F26FBC" w:rsidRDefault="00F26FBC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</w:rPr>
      </w:pPr>
      <w:r w:rsidRPr="00F26FBC">
        <w:rPr>
          <w:b/>
          <w:color w:val="000000"/>
        </w:rPr>
        <w:t>Pastaruoju metu vis dažniau fiksuojami atvejai, kai gyventojai gauna apgaulingus e</w:t>
      </w:r>
      <w:r w:rsidR="002B3487">
        <w:rPr>
          <w:b/>
          <w:color w:val="000000"/>
        </w:rPr>
        <w:t xml:space="preserve">l. </w:t>
      </w:r>
      <w:r w:rsidRPr="00F26FBC">
        <w:rPr>
          <w:b/>
          <w:color w:val="000000"/>
        </w:rPr>
        <w:t>laiškus, vizualiai primenančius</w:t>
      </w:r>
      <w:r w:rsidR="00542441">
        <w:rPr>
          <w:b/>
          <w:color w:val="000000"/>
        </w:rPr>
        <w:t xml:space="preserve"> </w:t>
      </w:r>
      <w:r w:rsidRPr="00F26FBC">
        <w:rPr>
          <w:b/>
          <w:color w:val="000000"/>
        </w:rPr>
        <w:t>pranešimus iš gerai žinomų įmonių. Sukčiai pasitelkia tikroviškai atrodančius logotipus, el. laiškų šablonus ir net įvardija konkrečius paslaugų teikimo atvejus, kad sukurtų pasitikėjimą ir paskatintų žmones paspausti pavojingas nuorodas.</w:t>
      </w:r>
      <w:r>
        <w:rPr>
          <w:b/>
          <w:color w:val="000000"/>
        </w:rPr>
        <w:t xml:space="preserve"> </w:t>
      </w:r>
      <w:r w:rsidRPr="00F26FBC">
        <w:rPr>
          <w:b/>
          <w:color w:val="000000"/>
        </w:rPr>
        <w:t>Vienas naujausių to pavyzdžių – el. laiškai, siųsti</w:t>
      </w:r>
      <w:r>
        <w:rPr>
          <w:b/>
          <w:color w:val="000000"/>
        </w:rPr>
        <w:t xml:space="preserve"> draudimo bendrovės</w:t>
      </w:r>
      <w:r w:rsidRPr="00F26FBC">
        <w:rPr>
          <w:b/>
          <w:color w:val="000000"/>
        </w:rPr>
        <w:t xml:space="preserve"> BTA vardu, kuriuose gyventojai buvo viliojami tariama žalos išmoka. Kaip atpažinti tokį sukčių darbą ir nepakliūti į jų pinkles?</w:t>
      </w:r>
    </w:p>
    <w:p w14:paraId="41DE69D0" w14:textId="0CB66469" w:rsidR="006B6527" w:rsidRPr="00114D56" w:rsidRDefault="00D77C7B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Cs/>
        </w:rPr>
      </w:pPr>
      <w:r w:rsidRPr="00D77C7B">
        <w:rPr>
          <w:bCs/>
        </w:rPr>
        <w:t xml:space="preserve">BTA </w:t>
      </w:r>
      <w:r w:rsidR="00B31E36">
        <w:rPr>
          <w:bCs/>
        </w:rPr>
        <w:t>IT vadovas Baltijos ša</w:t>
      </w:r>
      <w:r w:rsidR="00B0378C">
        <w:rPr>
          <w:bCs/>
        </w:rPr>
        <w:t>li</w:t>
      </w:r>
      <w:r w:rsidR="00B31E36">
        <w:rPr>
          <w:bCs/>
        </w:rPr>
        <w:t>ms</w:t>
      </w:r>
      <w:r w:rsidRPr="00D77C7B">
        <w:rPr>
          <w:bCs/>
        </w:rPr>
        <w:t xml:space="preserve"> J</w:t>
      </w:r>
      <w:r w:rsidR="002F0357">
        <w:rPr>
          <w:bCs/>
        </w:rPr>
        <w:t>a</w:t>
      </w:r>
      <w:r w:rsidRPr="00D77C7B">
        <w:rPr>
          <w:bCs/>
        </w:rPr>
        <w:t xml:space="preserve">nis </w:t>
      </w:r>
      <w:proofErr w:type="spellStart"/>
      <w:r w:rsidRPr="00D77C7B">
        <w:rPr>
          <w:bCs/>
        </w:rPr>
        <w:t>Ruža</w:t>
      </w:r>
      <w:proofErr w:type="spellEnd"/>
      <w:r w:rsidRPr="00D77C7B">
        <w:rPr>
          <w:bCs/>
        </w:rPr>
        <w:t xml:space="preserve"> </w:t>
      </w:r>
      <w:r w:rsidR="00486524" w:rsidRPr="00114D56">
        <w:rPr>
          <w:bCs/>
        </w:rPr>
        <w:t>teigia, jog draudimo bendrovė neplatina jokių laiškų apie tariamą pinigų grąžinimą – tokie pranešimai</w:t>
      </w:r>
      <w:r w:rsidR="004B6ACA">
        <w:rPr>
          <w:bCs/>
        </w:rPr>
        <w:t>, jei yra siųsti ne iš oficialių BTA el. pašto adresų,</w:t>
      </w:r>
      <w:r w:rsidR="00486524" w:rsidRPr="00114D56">
        <w:rPr>
          <w:bCs/>
        </w:rPr>
        <w:t xml:space="preserve"> yra klastotės, skleidžiamos sukčių. Jis ragina gyventojus elgtis atsargiai</w:t>
      </w:r>
      <w:r>
        <w:rPr>
          <w:bCs/>
        </w:rPr>
        <w:t xml:space="preserve">, </w:t>
      </w:r>
      <w:r w:rsidR="00486524" w:rsidRPr="00114D56">
        <w:rPr>
          <w:bCs/>
        </w:rPr>
        <w:t>tikrinti gautos informacijos patikimumą</w:t>
      </w:r>
      <w:r>
        <w:rPr>
          <w:bCs/>
        </w:rPr>
        <w:t xml:space="preserve"> ir mąstyti kritiškai.</w:t>
      </w:r>
    </w:p>
    <w:p w14:paraId="3ECB1652" w14:textId="4D054699" w:rsidR="00486524" w:rsidRPr="00114D56" w:rsidRDefault="00486524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Cs/>
        </w:rPr>
      </w:pPr>
      <w:r w:rsidRPr="00114D56">
        <w:rPr>
          <w:bCs/>
        </w:rPr>
        <w:t>„</w:t>
      </w:r>
      <w:r w:rsidR="003E13D0">
        <w:rPr>
          <w:bCs/>
        </w:rPr>
        <w:t>Gavome informaciją, jog gyventojus pasiekė</w:t>
      </w:r>
      <w:r w:rsidRPr="00114D56">
        <w:rPr>
          <w:bCs/>
        </w:rPr>
        <w:t xml:space="preserve"> itin tikroviškai atrodan</w:t>
      </w:r>
      <w:r w:rsidR="003E13D0">
        <w:rPr>
          <w:bCs/>
        </w:rPr>
        <w:t>tys</w:t>
      </w:r>
      <w:r w:rsidRPr="00114D56">
        <w:rPr>
          <w:bCs/>
        </w:rPr>
        <w:t xml:space="preserve"> laišk</w:t>
      </w:r>
      <w:r w:rsidR="003E13D0">
        <w:rPr>
          <w:bCs/>
        </w:rPr>
        <w:t>ai</w:t>
      </w:r>
      <w:r w:rsidRPr="00114D56">
        <w:rPr>
          <w:bCs/>
        </w:rPr>
        <w:t xml:space="preserve"> BTA vardu, kuriuose kviečiama patvirtinti tariamą pinigų grąžinimą paspaudžiant nuorodą. Svarbu žinoti, kad visi BTA siunčiami el. laiškai baigiasi @bta.lt</w:t>
      </w:r>
      <w:r w:rsidR="0027653F">
        <w:rPr>
          <w:bCs/>
        </w:rPr>
        <w:t xml:space="preserve">, todėl </w:t>
      </w:r>
      <w:r w:rsidR="001F3715">
        <w:rPr>
          <w:bCs/>
        </w:rPr>
        <w:t>būtinai patikrinkite gavėjo el. pašt</w:t>
      </w:r>
      <w:r w:rsidR="0027653F">
        <w:rPr>
          <w:bCs/>
        </w:rPr>
        <w:t>o</w:t>
      </w:r>
      <w:r w:rsidR="001F3715">
        <w:rPr>
          <w:bCs/>
        </w:rPr>
        <w:t xml:space="preserve"> adresą.</w:t>
      </w:r>
      <w:r w:rsidR="004B6ACA">
        <w:rPr>
          <w:bCs/>
        </w:rPr>
        <w:t xml:space="preserve"> </w:t>
      </w:r>
      <w:r w:rsidRPr="00114D56">
        <w:rPr>
          <w:bCs/>
        </w:rPr>
        <w:t>Jei kyla bent menkiausia abejonė, nespauskite nuorodų, neatsakinėkite į laišką ir jokiu būdu neteikite savo asmeninės ar mokėjimo informacijos</w:t>
      </w:r>
      <w:r w:rsidR="00831CA4" w:rsidRPr="00114D56">
        <w:rPr>
          <w:bCs/>
        </w:rPr>
        <w:t xml:space="preserve">“, – perspėja </w:t>
      </w:r>
      <w:r w:rsidR="004B6ACA">
        <w:rPr>
          <w:bCs/>
        </w:rPr>
        <w:t xml:space="preserve">J. </w:t>
      </w:r>
      <w:proofErr w:type="spellStart"/>
      <w:r w:rsidR="004B6ACA">
        <w:rPr>
          <w:bCs/>
        </w:rPr>
        <w:t>Ruža</w:t>
      </w:r>
      <w:proofErr w:type="spellEnd"/>
      <w:r w:rsidR="004B6ACA">
        <w:rPr>
          <w:bCs/>
        </w:rPr>
        <w:t>.</w:t>
      </w:r>
      <w:r w:rsidR="00831CA4" w:rsidRPr="00114D56">
        <w:rPr>
          <w:bCs/>
        </w:rPr>
        <w:t xml:space="preserve"> </w:t>
      </w:r>
    </w:p>
    <w:p w14:paraId="44A1873A" w14:textId="645412BD" w:rsidR="006B6527" w:rsidRPr="006B6527" w:rsidRDefault="006B6527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</w:rPr>
      </w:pPr>
      <w:r w:rsidRPr="006B6527">
        <w:rPr>
          <w:b/>
          <w:color w:val="000000"/>
        </w:rPr>
        <w:t xml:space="preserve">Sukčių metodai vis </w:t>
      </w:r>
      <w:r w:rsidR="003A3386">
        <w:rPr>
          <w:b/>
          <w:color w:val="000000"/>
        </w:rPr>
        <w:t>progresuoja</w:t>
      </w:r>
    </w:p>
    <w:p w14:paraId="00000008" w14:textId="650E74E3" w:rsidR="00074873" w:rsidRDefault="004B6ACA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</w:rPr>
      </w:pPr>
      <w:r>
        <w:rPr>
          <w:color w:val="000000"/>
        </w:rPr>
        <w:t xml:space="preserve">J. </w:t>
      </w:r>
      <w:proofErr w:type="spellStart"/>
      <w:r>
        <w:rPr>
          <w:color w:val="000000"/>
        </w:rPr>
        <w:t>Ruža</w:t>
      </w:r>
      <w:proofErr w:type="spellEnd"/>
      <w:r w:rsidR="005F15C7">
        <w:rPr>
          <w:color w:val="000000"/>
        </w:rPr>
        <w:t xml:space="preserve"> teigimu,</w:t>
      </w:r>
      <w:r w:rsidR="000A7A41">
        <w:rPr>
          <w:color w:val="000000"/>
        </w:rPr>
        <w:t xml:space="preserve"> sukčių laiškai </w:t>
      </w:r>
      <w:r w:rsidR="00760BC7">
        <w:rPr>
          <w:color w:val="000000"/>
        </w:rPr>
        <w:t xml:space="preserve">nuolat </w:t>
      </w:r>
      <w:r w:rsidR="000A7A41">
        <w:rPr>
          <w:color w:val="000000"/>
        </w:rPr>
        <w:t xml:space="preserve">tobulėja ir tampa vis realistiškesni, todėl žmonės neretai apsigauna. </w:t>
      </w:r>
    </w:p>
    <w:p w14:paraId="79A4E2F5" w14:textId="40DD4E46" w:rsidR="00665490" w:rsidRDefault="00EC1B9E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</w:rPr>
      </w:pPr>
      <w:r>
        <w:rPr>
          <w:color w:val="000000"/>
        </w:rPr>
        <w:t>„</w:t>
      </w:r>
      <w:r w:rsidR="004B6ACA">
        <w:rPr>
          <w:color w:val="000000"/>
        </w:rPr>
        <w:t>Remiantis tyrimu, gl</w:t>
      </w:r>
      <w:r w:rsidRPr="00EC1B9E">
        <w:rPr>
          <w:color w:val="000000"/>
        </w:rPr>
        <w:t>obaliai apie 18 </w:t>
      </w:r>
      <w:r>
        <w:rPr>
          <w:color w:val="000000"/>
        </w:rPr>
        <w:t>proc.</w:t>
      </w:r>
      <w:r w:rsidRPr="00EC1B9E">
        <w:rPr>
          <w:color w:val="000000"/>
        </w:rPr>
        <w:t xml:space="preserve"> žmonių paspaudžia ant tokio tipo žinučių, o kai atakos taikomos konkrečiai auditorijai</w:t>
      </w:r>
      <w:r>
        <w:rPr>
          <w:color w:val="000000"/>
        </w:rPr>
        <w:t xml:space="preserve">, </w:t>
      </w:r>
      <w:r w:rsidRPr="00EC1B9E">
        <w:rPr>
          <w:color w:val="000000"/>
        </w:rPr>
        <w:t>šis skaičius gali viršyti ir 50 </w:t>
      </w:r>
      <w:r>
        <w:rPr>
          <w:color w:val="000000"/>
        </w:rPr>
        <w:t xml:space="preserve">proc. Gavus įtartiną laišką svarbiausia būti budriems – patikrinti, </w:t>
      </w:r>
      <w:r w:rsidRPr="00EC1B9E">
        <w:rPr>
          <w:color w:val="000000"/>
        </w:rPr>
        <w:t>ar el. laiškas siunčiamas iš BTA</w:t>
      </w:r>
      <w:r>
        <w:rPr>
          <w:color w:val="000000"/>
        </w:rPr>
        <w:t xml:space="preserve"> el. pašto</w:t>
      </w:r>
      <w:r w:rsidRPr="00EC1B9E">
        <w:rPr>
          <w:color w:val="000000"/>
        </w:rPr>
        <w:t xml:space="preserve"> adreso. Taip pat galima patikrinti, ar mygtuko nuoroda veda į BTA svetainę.</w:t>
      </w:r>
      <w:r>
        <w:rPr>
          <w:color w:val="000000"/>
        </w:rPr>
        <w:t xml:space="preserve"> Be to, būtina mąstyti kritiškai – jei neturėjote jokio d</w:t>
      </w:r>
      <w:r w:rsidR="0027653F">
        <w:rPr>
          <w:color w:val="000000"/>
        </w:rPr>
        <w:t>raudžiamojo</w:t>
      </w:r>
      <w:r>
        <w:rPr>
          <w:color w:val="000000"/>
        </w:rPr>
        <w:t xml:space="preserve"> įvykio, jums tikrai nereikia patvirtinti žalos atlyginimo“, – akcentuoja </w:t>
      </w:r>
      <w:r w:rsidR="004B6ACA">
        <w:rPr>
          <w:color w:val="000000"/>
        </w:rPr>
        <w:t xml:space="preserve">J. </w:t>
      </w:r>
      <w:proofErr w:type="spellStart"/>
      <w:r w:rsidR="004B6ACA">
        <w:rPr>
          <w:color w:val="000000"/>
        </w:rPr>
        <w:t>Ruža</w:t>
      </w:r>
      <w:proofErr w:type="spellEnd"/>
      <w:r w:rsidR="004B6ACA">
        <w:rPr>
          <w:color w:val="000000"/>
        </w:rPr>
        <w:t>.</w:t>
      </w:r>
      <w:r>
        <w:rPr>
          <w:color w:val="000000"/>
        </w:rPr>
        <w:t xml:space="preserve"> </w:t>
      </w:r>
    </w:p>
    <w:p w14:paraId="0000000A" w14:textId="4D5E23DC" w:rsidR="00074873" w:rsidRDefault="000A5636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</w:rPr>
      </w:pPr>
      <w:r>
        <w:t xml:space="preserve">Jis priduria, kad sukčiai reguliariai keičia kibernetinių atakų sritis, </w:t>
      </w:r>
      <w:r w:rsidR="00BD275C">
        <w:t>finansinės institucijos</w:t>
      </w:r>
      <w:r>
        <w:t xml:space="preserve"> – vienos dažniausių, į kurias nusitaiko piktavaliai. </w:t>
      </w:r>
    </w:p>
    <w:p w14:paraId="0000000B" w14:textId="1C72B62B" w:rsidR="00074873" w:rsidRDefault="003A3386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</w:rPr>
      </w:pPr>
      <w:r>
        <w:rPr>
          <w:b/>
          <w:color w:val="000000"/>
        </w:rPr>
        <w:t>Deda pastangos saugumui užtikrinti</w:t>
      </w:r>
    </w:p>
    <w:p w14:paraId="0000000C" w14:textId="3DC5871D" w:rsidR="00074873" w:rsidRPr="003A3386" w:rsidRDefault="003A3386" w:rsidP="003A3386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</w:pPr>
      <w:r>
        <w:t xml:space="preserve">BTA </w:t>
      </w:r>
      <w:r w:rsidR="00B31E36">
        <w:t>IT vadovas Baltijos šalims</w:t>
      </w:r>
      <w:r>
        <w:t xml:space="preserve"> tvirtina, kad </w:t>
      </w:r>
      <w:r w:rsidR="007B69BB" w:rsidRPr="007B69BB">
        <w:t>paspaudus apgaulingą nuorodą rizikuojama ne tik patekti į suklastotą svetainę, bet ir netekti jautrių asmens ar banko duomenų</w:t>
      </w:r>
      <w:r w:rsidR="007B69BB">
        <w:t>.</w:t>
      </w:r>
      <w:r w:rsidR="004B6ACA" w:rsidRPr="004B6ACA">
        <w:t xml:space="preserve"> Tokie el. laiškai</w:t>
      </w:r>
      <w:r w:rsidR="004B6ACA">
        <w:t xml:space="preserve"> taip pat</w:t>
      </w:r>
      <w:r w:rsidR="004B6ACA" w:rsidRPr="004B6ACA">
        <w:t xml:space="preserve"> gali išvilioti pinigus arba įdiegti kenkėjiškas programas.</w:t>
      </w:r>
    </w:p>
    <w:p w14:paraId="0000000D" w14:textId="369F306A" w:rsidR="00074873" w:rsidRDefault="007B69BB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</w:rPr>
      </w:pPr>
      <w:r>
        <w:rPr>
          <w:color w:val="000000"/>
        </w:rPr>
        <w:t>„Greičiausiai pirmas paspaudimas žalos nepadarys – bus paprašyta įvesti banko prisijungimo duomenis</w:t>
      </w:r>
      <w:r w:rsidR="00BD275C">
        <w:rPr>
          <w:color w:val="000000"/>
        </w:rPr>
        <w:t xml:space="preserve"> </w:t>
      </w:r>
      <w:r w:rsidR="00BD275C" w:rsidRPr="00BD275C">
        <w:rPr>
          <w:color w:val="000000"/>
        </w:rPr>
        <w:t>arba papildomus kontaktinius duomenis</w:t>
      </w:r>
      <w:r>
        <w:rPr>
          <w:color w:val="000000"/>
        </w:rPr>
        <w:t xml:space="preserve">, tačiau tolimesni žingsniai gali būti pavojingesni ir taip sukčiai galės patekti į banko paskyrą“, – sako </w:t>
      </w:r>
      <w:r w:rsidR="004B6ACA">
        <w:rPr>
          <w:color w:val="000000"/>
        </w:rPr>
        <w:t xml:space="preserve">J. </w:t>
      </w:r>
      <w:proofErr w:type="spellStart"/>
      <w:r w:rsidR="004B6ACA">
        <w:rPr>
          <w:color w:val="000000"/>
        </w:rPr>
        <w:t>Ruža</w:t>
      </w:r>
      <w:proofErr w:type="spellEnd"/>
      <w:r w:rsidR="004B6ACA">
        <w:rPr>
          <w:color w:val="000000"/>
        </w:rPr>
        <w:t>.</w:t>
      </w:r>
      <w:r>
        <w:rPr>
          <w:color w:val="000000"/>
        </w:rPr>
        <w:t xml:space="preserve"> </w:t>
      </w:r>
    </w:p>
    <w:p w14:paraId="0000000E" w14:textId="619EF8C8" w:rsidR="00074873" w:rsidRDefault="00960DD5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</w:rPr>
      </w:pPr>
      <w:r>
        <w:rPr>
          <w:color w:val="000000"/>
        </w:rPr>
        <w:t xml:space="preserve">Jis pabrėžia, kad </w:t>
      </w:r>
      <w:r w:rsidRPr="00960DD5">
        <w:rPr>
          <w:color w:val="000000"/>
        </w:rPr>
        <w:t>BTA aktyviai stebi kibernetinio sukčiavimo atvejus ir imasi visų priemonių, kad apsaugotų savo klientus.</w:t>
      </w:r>
    </w:p>
    <w:p w14:paraId="00000017" w14:textId="08929DE5" w:rsidR="00074873" w:rsidRPr="00DE778F" w:rsidRDefault="00960DD5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000000"/>
          <w:lang w:val="en-US"/>
        </w:rPr>
      </w:pPr>
      <w:r>
        <w:rPr>
          <w:color w:val="000000"/>
        </w:rPr>
        <w:lastRenderedPageBreak/>
        <w:t>„</w:t>
      </w:r>
      <w:r w:rsidRPr="00960DD5">
        <w:rPr>
          <w:color w:val="000000"/>
        </w:rPr>
        <w:t xml:space="preserve">Siekdami sustabdyti apgaulingą veiklą, glaudžiai bendradarbiaujame su atitinkamomis institucijomis – jos padeda uždaryti netikras svetaines arba blokuoti prieigą prie jų tam tikrose šalyse. Jei turite nors menkiausią įtarimą dėl gauto laiško, </w:t>
      </w:r>
      <w:r w:rsidR="009A3398">
        <w:rPr>
          <w:color w:val="000000"/>
        </w:rPr>
        <w:t>raginame</w:t>
      </w:r>
      <w:r w:rsidRPr="00960DD5">
        <w:rPr>
          <w:color w:val="000000"/>
        </w:rPr>
        <w:t xml:space="preserve"> </w:t>
      </w:r>
      <w:r w:rsidRPr="00170CF0">
        <w:rPr>
          <w:color w:val="000000"/>
        </w:rPr>
        <w:t>kreip</w:t>
      </w:r>
      <w:r w:rsidR="009A3398">
        <w:rPr>
          <w:color w:val="000000"/>
        </w:rPr>
        <w:t>tis</w:t>
      </w:r>
      <w:r w:rsidRPr="00170CF0">
        <w:rPr>
          <w:color w:val="000000"/>
        </w:rPr>
        <w:t xml:space="preserve"> į mus</w:t>
      </w:r>
      <w:r w:rsidR="009A3398">
        <w:rPr>
          <w:color w:val="000000"/>
        </w:rPr>
        <w:t>, o nukentėjus nuo internetinių sukčių, nedelsiant kreipkitės į teisėsaugos institucijas</w:t>
      </w:r>
      <w:r>
        <w:rPr>
          <w:color w:val="000000"/>
        </w:rPr>
        <w:t xml:space="preserve">“, – pabrėžia BTA </w:t>
      </w:r>
      <w:r w:rsidR="00B31E36">
        <w:rPr>
          <w:color w:val="000000"/>
        </w:rPr>
        <w:t>IT vadovas Baltijos šalims.</w:t>
      </w:r>
      <w:r>
        <w:rPr>
          <w:color w:val="000000"/>
        </w:rPr>
        <w:t xml:space="preserve"> </w:t>
      </w:r>
    </w:p>
    <w:sectPr w:rsidR="00074873" w:rsidRPr="00DE778F">
      <w:headerReference w:type="default" r:id="rId9"/>
      <w:headerReference w:type="first" r:id="rId10"/>
      <w:footerReference w:type="first" r:id="rId11"/>
      <w:pgSz w:w="11906" w:h="16838"/>
      <w:pgMar w:top="1134" w:right="1133" w:bottom="1134" w:left="1701" w:header="567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647D0" w14:textId="77777777" w:rsidR="00ED3C15" w:rsidRDefault="00ED3C15">
      <w:pPr>
        <w:spacing w:after="0" w:line="240" w:lineRule="auto"/>
      </w:pPr>
      <w:r>
        <w:separator/>
      </w:r>
    </w:p>
  </w:endnote>
  <w:endnote w:type="continuationSeparator" w:id="0">
    <w:p w14:paraId="0D8B685F" w14:textId="77777777" w:rsidR="00ED3C15" w:rsidRDefault="00ED3C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1" w:fontKey="{1AC467CC-CFB1-5341-A77D-9C4C63A7A809}"/>
    <w:embedBold r:id="rId2" w:fontKey="{08A8B0F2-7A41-344A-9347-257EAB68CC80}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3" w:fontKey="{5765C058-0C43-6645-9FC4-5E7EA88A3795}"/>
    <w:embedBold r:id="rId4" w:fontKey="{9DB5ECD2-7692-9F49-8B9B-90757BEC5667}"/>
    <w:embedItalic r:id="rId5" w:fontKey="{2174ED55-2615-974C-B5DC-BB5D153613B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9A3DE21-CE03-0A4B-8CD3-C050D61F64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19AAECF2-67AC-B34B-9185-632599BBD7B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0B8AA7C8-3807-9042-93E5-082DBE3049CA}"/>
    <w:embedItalic r:id="rId9" w:fontKey="{D31CAAAA-1DC8-6D4E-9006-582D6665E5BC}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  <w:embedRegular r:id="rId10" w:fontKey="{8157D601-0304-974F-B5A8-DDAA23AD5218}"/>
  </w:font>
  <w:font w:name="DokChampa">
    <w:panose1 w:val="020B0604020202020204"/>
    <w:charset w:val="DE"/>
    <w:family w:val="swiss"/>
    <w:pitch w:val="variable"/>
    <w:sig w:usb0="83000003" w:usb1="00000000" w:usb2="00000000" w:usb3="00000000" w:csb0="00010001" w:csb1="00000000"/>
    <w:embedRegular r:id="rId11" w:fontKey="{0901ED92-FCC3-4A44-951B-DFA38B57F5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A" w14:textId="77777777" w:rsidR="00074873" w:rsidRDefault="000A598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lang w:bidi="ar-SA"/>
      </w:rPr>
      <w:drawing>
        <wp:anchor distT="0" distB="0" distL="0" distR="0" simplePos="0" relativeHeight="251659264" behindDoc="1" locked="0" layoutInCell="1" hidden="0" allowOverlap="1" wp14:anchorId="6B43FE04" wp14:editId="2A74D1CC">
          <wp:simplePos x="0" y="0"/>
          <wp:positionH relativeFrom="column">
            <wp:posOffset>-1183004</wp:posOffset>
          </wp:positionH>
          <wp:positionV relativeFrom="paragraph">
            <wp:posOffset>0</wp:posOffset>
          </wp:positionV>
          <wp:extent cx="7543800" cy="751840"/>
          <wp:effectExtent l="0" t="0" r="0" b="0"/>
          <wp:wrapNone/>
          <wp:docPr id="178322260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3800" cy="7518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1B" w14:textId="77777777" w:rsidR="00074873" w:rsidRDefault="0007487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1C63D8" w14:textId="77777777" w:rsidR="00ED3C15" w:rsidRDefault="00ED3C15">
      <w:pPr>
        <w:spacing w:after="0" w:line="240" w:lineRule="auto"/>
      </w:pPr>
      <w:r>
        <w:separator/>
      </w:r>
    </w:p>
  </w:footnote>
  <w:footnote w:type="continuationSeparator" w:id="0">
    <w:p w14:paraId="12DDCAE5" w14:textId="77777777" w:rsidR="00ED3C15" w:rsidRDefault="00ED3C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074873" w:rsidRDefault="0007487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right" w:pos="9072"/>
      </w:tabs>
      <w:spacing w:after="0" w:line="240" w:lineRule="auto"/>
      <w:ind w:right="707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7777777" w:rsidR="00074873" w:rsidRDefault="000A598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lang w:bidi="ar-SA"/>
      </w:rPr>
      <w:drawing>
        <wp:anchor distT="0" distB="0" distL="0" distR="0" simplePos="0" relativeHeight="251658240" behindDoc="1" locked="0" layoutInCell="1" hidden="0" allowOverlap="1" wp14:anchorId="7CBE20C3" wp14:editId="24FBCF14">
          <wp:simplePos x="0" y="0"/>
          <wp:positionH relativeFrom="column">
            <wp:posOffset>-1188084</wp:posOffset>
          </wp:positionH>
          <wp:positionV relativeFrom="paragraph">
            <wp:posOffset>-467994</wp:posOffset>
          </wp:positionV>
          <wp:extent cx="7764145" cy="1466850"/>
          <wp:effectExtent l="0" t="0" r="0" b="0"/>
          <wp:wrapNone/>
          <wp:docPr id="178322260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4145" cy="14668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F6318F"/>
    <w:multiLevelType w:val="hybridMultilevel"/>
    <w:tmpl w:val="692C32DC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68686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3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4873"/>
    <w:rsid w:val="00065B24"/>
    <w:rsid w:val="00074873"/>
    <w:rsid w:val="000A5636"/>
    <w:rsid w:val="000A5986"/>
    <w:rsid w:val="000A7A41"/>
    <w:rsid w:val="00114D56"/>
    <w:rsid w:val="00160E0E"/>
    <w:rsid w:val="00161F07"/>
    <w:rsid w:val="00170CF0"/>
    <w:rsid w:val="001F3715"/>
    <w:rsid w:val="001F630E"/>
    <w:rsid w:val="002612F3"/>
    <w:rsid w:val="0027653F"/>
    <w:rsid w:val="002B3487"/>
    <w:rsid w:val="002C6FBC"/>
    <w:rsid w:val="002F0357"/>
    <w:rsid w:val="00321B34"/>
    <w:rsid w:val="00337C39"/>
    <w:rsid w:val="00341DE4"/>
    <w:rsid w:val="003A3386"/>
    <w:rsid w:val="003E13D0"/>
    <w:rsid w:val="00451057"/>
    <w:rsid w:val="00461418"/>
    <w:rsid w:val="00486524"/>
    <w:rsid w:val="004B6ACA"/>
    <w:rsid w:val="004F54B4"/>
    <w:rsid w:val="00512511"/>
    <w:rsid w:val="0051497F"/>
    <w:rsid w:val="00517D2D"/>
    <w:rsid w:val="00542441"/>
    <w:rsid w:val="0058780A"/>
    <w:rsid w:val="005C5F76"/>
    <w:rsid w:val="005C67E4"/>
    <w:rsid w:val="005E294A"/>
    <w:rsid w:val="005F15C7"/>
    <w:rsid w:val="00600B9B"/>
    <w:rsid w:val="006614AF"/>
    <w:rsid w:val="00665490"/>
    <w:rsid w:val="00672CD7"/>
    <w:rsid w:val="006A5238"/>
    <w:rsid w:val="006A542F"/>
    <w:rsid w:val="006B485B"/>
    <w:rsid w:val="006B6527"/>
    <w:rsid w:val="006C69DD"/>
    <w:rsid w:val="00742FA3"/>
    <w:rsid w:val="00760BC7"/>
    <w:rsid w:val="007B69BB"/>
    <w:rsid w:val="00831CA4"/>
    <w:rsid w:val="008321B2"/>
    <w:rsid w:val="008667C7"/>
    <w:rsid w:val="0088456C"/>
    <w:rsid w:val="00895667"/>
    <w:rsid w:val="0091323A"/>
    <w:rsid w:val="00960DD5"/>
    <w:rsid w:val="009970B6"/>
    <w:rsid w:val="009A3398"/>
    <w:rsid w:val="00A062B1"/>
    <w:rsid w:val="00A773D5"/>
    <w:rsid w:val="00AB14BE"/>
    <w:rsid w:val="00B0378C"/>
    <w:rsid w:val="00B1455A"/>
    <w:rsid w:val="00B26EEC"/>
    <w:rsid w:val="00B31E36"/>
    <w:rsid w:val="00BD275C"/>
    <w:rsid w:val="00C622EA"/>
    <w:rsid w:val="00CA29A8"/>
    <w:rsid w:val="00CB29C9"/>
    <w:rsid w:val="00CD6A2E"/>
    <w:rsid w:val="00D77C7B"/>
    <w:rsid w:val="00DE778F"/>
    <w:rsid w:val="00E3731A"/>
    <w:rsid w:val="00EC1B9E"/>
    <w:rsid w:val="00ED1622"/>
    <w:rsid w:val="00ED3C15"/>
    <w:rsid w:val="00F13EC9"/>
    <w:rsid w:val="00F26FBC"/>
    <w:rsid w:val="00F41991"/>
    <w:rsid w:val="00F9107E"/>
    <w:rsid w:val="00FD31CB"/>
    <w:rsid w:val="00FE0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F861DC4"/>
  <w15:docId w15:val="{8528B5F1-8645-4416-A812-A13B9447E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-LT" w:eastAsia="lt-LT" w:bidi="lo-L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C409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09F0"/>
  </w:style>
  <w:style w:type="paragraph" w:styleId="Footer">
    <w:name w:val="footer"/>
    <w:basedOn w:val="Normal"/>
    <w:link w:val="FooterChar"/>
    <w:uiPriority w:val="99"/>
    <w:unhideWhenUsed/>
    <w:rsid w:val="00C409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09F0"/>
  </w:style>
  <w:style w:type="paragraph" w:styleId="BalloonText">
    <w:name w:val="Balloon Text"/>
    <w:basedOn w:val="Normal"/>
    <w:link w:val="BalloonTextChar"/>
    <w:uiPriority w:val="99"/>
    <w:semiHidden/>
    <w:unhideWhenUsed/>
    <w:rsid w:val="00E31A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E31A6E"/>
    <w:rPr>
      <w:rFonts w:ascii="Segoe UI" w:hAnsi="Segoe UI" w:cs="Segoe UI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AE4DAB"/>
    <w:pPr>
      <w:spacing w:after="0" w:line="240" w:lineRule="auto"/>
      <w:ind w:left="720"/>
    </w:pPr>
    <w:rPr>
      <w:rFonts w:ascii="Tahoma" w:hAnsi="Tahoma" w:cs="Tahoma"/>
      <w:color w:val="000000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rsid w:val="00B64331"/>
    <w:pPr>
      <w:spacing w:after="120"/>
    </w:pPr>
  </w:style>
  <w:style w:type="character" w:customStyle="1" w:styleId="BodyTextChar">
    <w:name w:val="Body Text Char"/>
    <w:link w:val="BodyText"/>
    <w:uiPriority w:val="99"/>
    <w:rsid w:val="00B64331"/>
    <w:rPr>
      <w:sz w:val="22"/>
      <w:szCs w:val="22"/>
      <w:lang w:eastAsia="en-US"/>
    </w:rPr>
  </w:style>
  <w:style w:type="paragraph" w:customStyle="1" w:styleId="naislab">
    <w:name w:val="naislab"/>
    <w:basedOn w:val="Normal"/>
    <w:rsid w:val="0057121F"/>
    <w:pPr>
      <w:snapToGrid w:val="0"/>
      <w:spacing w:before="75" w:after="75" w:line="240" w:lineRule="auto"/>
      <w:jc w:val="right"/>
    </w:pPr>
    <w:rPr>
      <w:rFonts w:ascii="Times New Roman" w:eastAsia="Times New Roman" w:hAnsi="Times New Roman"/>
      <w:sz w:val="24"/>
      <w:szCs w:val="24"/>
      <w:lang w:val="lv-LV" w:eastAsia="lv-LV"/>
    </w:rPr>
  </w:style>
  <w:style w:type="character" w:customStyle="1" w:styleId="hps">
    <w:name w:val="hps"/>
    <w:rsid w:val="0057121F"/>
  </w:style>
  <w:style w:type="table" w:styleId="TableGrid">
    <w:name w:val="Table Grid"/>
    <w:basedOn w:val="TableNormal"/>
    <w:uiPriority w:val="39"/>
    <w:rsid w:val="00D844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D8440E"/>
    <w:rPr>
      <w:color w:val="0563C1"/>
      <w:u w:val="single"/>
    </w:rPr>
  </w:style>
  <w:style w:type="paragraph" w:customStyle="1" w:styleId="xxmsonormal">
    <w:name w:val="x_xmsonormal"/>
    <w:basedOn w:val="Normal"/>
    <w:rsid w:val="001921A5"/>
    <w:pPr>
      <w:spacing w:after="0" w:line="240" w:lineRule="auto"/>
    </w:pPr>
  </w:style>
  <w:style w:type="character" w:styleId="Strong">
    <w:name w:val="Strong"/>
    <w:uiPriority w:val="22"/>
    <w:qFormat/>
    <w:rsid w:val="00D9645A"/>
    <w:rPr>
      <w:b/>
      <w:bCs/>
    </w:rPr>
  </w:style>
  <w:style w:type="character" w:customStyle="1" w:styleId="UnresolvedMention1">
    <w:name w:val="Unresolved Mention1"/>
    <w:uiPriority w:val="99"/>
    <w:semiHidden/>
    <w:unhideWhenUsed/>
    <w:rsid w:val="005350F6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546D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6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6DD3"/>
    <w:rPr>
      <w:lang w:val="lt-L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6D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6DD3"/>
    <w:rPr>
      <w:b/>
      <w:bCs/>
      <w:lang w:val="lt-LT"/>
    </w:rPr>
  </w:style>
  <w:style w:type="paragraph" w:styleId="Revision">
    <w:name w:val="Revision"/>
    <w:hidden/>
    <w:uiPriority w:val="99"/>
    <w:semiHidden/>
    <w:rsid w:val="00A14B78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PkwL9txGFh6b75Vd40C5YA/Pfw==">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</go:docsCustomData>
</go:gDocsCustomXmlDataStorage>
</file>

<file path=customXml/itemProps1.xml><?xml version="1.0" encoding="utf-8"?>
<ds:datastoreItem xmlns:ds="http://schemas.openxmlformats.org/officeDocument/2006/customXml" ds:itemID="{C24ACA1D-CCC5-4C32-A246-86D1E81A31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498</Words>
  <Characters>2842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Laimis Kosevičius</dc:creator>
  <cp:lastModifiedBy>Gravitas Partners</cp:lastModifiedBy>
  <cp:revision>7</cp:revision>
  <dcterms:created xsi:type="dcterms:W3CDTF">2025-07-29T08:15:00Z</dcterms:created>
  <dcterms:modified xsi:type="dcterms:W3CDTF">2025-07-29T08:56:00Z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0x010100ECA090C13B198D459DA7F0549E842ED2</vt:lpwstr>
  </property>
</Properties>
</file>