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1CFCF" w14:textId="77777777" w:rsidR="00FC53A0" w:rsidRDefault="00AE4716">
      <w:pPr>
        <w:pStyle w:val="Body"/>
      </w:pPr>
      <w:r>
        <w:rPr>
          <w:noProof/>
        </w:rPr>
        <w:drawing>
          <wp:inline distT="0" distB="0" distL="0" distR="0" wp14:anchorId="70EAA6F6" wp14:editId="75141025">
            <wp:extent cx="6400673" cy="1244576"/>
            <wp:effectExtent l="0" t="0" r="0" b="0"/>
            <wp:docPr id="1073741825" name="officeArt object"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close up of a logoDescription automatically generated" descr="A close up of a logoDescription automatically generated"/>
                    <pic:cNvPicPr>
                      <a:picLocks noChangeAspect="1"/>
                    </pic:cNvPicPr>
                  </pic:nvPicPr>
                  <pic:blipFill>
                    <a:blip r:embed="rId7"/>
                    <a:stretch>
                      <a:fillRect/>
                    </a:stretch>
                  </pic:blipFill>
                  <pic:spPr>
                    <a:xfrm>
                      <a:off x="0" y="0"/>
                      <a:ext cx="6400673" cy="1244576"/>
                    </a:xfrm>
                    <a:prstGeom prst="rect">
                      <a:avLst/>
                    </a:prstGeom>
                    <a:ln w="12700" cap="flat">
                      <a:noFill/>
                      <a:miter lim="400000"/>
                    </a:ln>
                    <a:effectLst/>
                  </pic:spPr>
                </pic:pic>
              </a:graphicData>
            </a:graphic>
          </wp:inline>
        </w:drawing>
      </w:r>
    </w:p>
    <w:p w14:paraId="753E1460" w14:textId="77777777" w:rsidR="00213921" w:rsidRDefault="00213921" w:rsidP="001F2F95">
      <w:pPr>
        <w:pStyle w:val="Body"/>
        <w:jc w:val="center"/>
        <w:rPr>
          <w:rFonts w:ascii="Helvetica" w:hAnsi="Helvetica"/>
          <w:b/>
          <w:bCs/>
          <w:sz w:val="28"/>
          <w:szCs w:val="28"/>
        </w:rPr>
      </w:pPr>
    </w:p>
    <w:p w14:paraId="706DE84D" w14:textId="247DEEA6" w:rsidR="00FC53A0" w:rsidRPr="00952A8C" w:rsidRDefault="00213921" w:rsidP="001F2F95">
      <w:pPr>
        <w:pStyle w:val="Body"/>
        <w:jc w:val="center"/>
        <w:rPr>
          <w:rFonts w:ascii="Helvetica" w:eastAsia="Helvetica" w:hAnsi="Helvetica" w:cs="Helvetica"/>
          <w:b/>
          <w:bCs/>
          <w:sz w:val="22"/>
          <w:szCs w:val="22"/>
        </w:rPr>
      </w:pPr>
      <w:r w:rsidRPr="00213921">
        <w:rPr>
          <w:rFonts w:ascii="Helvetica" w:eastAsia="Helvetica" w:hAnsi="Helvetica" w:cs="Helvetica"/>
          <w:b/>
          <w:bCs/>
          <w:sz w:val="28"/>
          <w:szCs w:val="28"/>
        </w:rPr>
        <w:t>„</w:t>
      </w:r>
      <w:proofErr w:type="spellStart"/>
      <w:r w:rsidRPr="00213921">
        <w:rPr>
          <w:rFonts w:ascii="Helvetica" w:eastAsia="Helvetica" w:hAnsi="Helvetica" w:cs="Helvetica"/>
          <w:b/>
          <w:bCs/>
          <w:sz w:val="28"/>
          <w:szCs w:val="28"/>
        </w:rPr>
        <w:t>Garmin</w:t>
      </w:r>
      <w:proofErr w:type="spellEnd"/>
      <w:r w:rsidRPr="00213921">
        <w:rPr>
          <w:rFonts w:ascii="Helvetica" w:eastAsia="Helvetica" w:hAnsi="Helvetica" w:cs="Helvetica"/>
          <w:b/>
          <w:bCs/>
          <w:sz w:val="28"/>
          <w:szCs w:val="28"/>
        </w:rPr>
        <w:t xml:space="preserve">“ pristato </w:t>
      </w:r>
      <w:r w:rsidR="00E75D91">
        <w:rPr>
          <w:rFonts w:ascii="Helvetica" w:eastAsia="Helvetica" w:hAnsi="Helvetica" w:cs="Helvetica"/>
          <w:b/>
          <w:bCs/>
          <w:sz w:val="28"/>
          <w:szCs w:val="28"/>
        </w:rPr>
        <w:t>„</w:t>
      </w:r>
      <w:proofErr w:type="spellStart"/>
      <w:r w:rsidR="0033363F">
        <w:rPr>
          <w:rFonts w:ascii="Helvetica" w:eastAsia="Helvetica" w:hAnsi="Helvetica" w:cs="Helvetica"/>
          <w:b/>
          <w:bCs/>
          <w:sz w:val="28"/>
          <w:szCs w:val="28"/>
        </w:rPr>
        <w:t>F</w:t>
      </w:r>
      <w:r w:rsidRPr="00213921">
        <w:rPr>
          <w:rFonts w:ascii="Helvetica" w:eastAsia="Helvetica" w:hAnsi="Helvetica" w:cs="Helvetica"/>
          <w:b/>
          <w:bCs/>
          <w:sz w:val="28"/>
          <w:szCs w:val="28"/>
        </w:rPr>
        <w:t>ēnix</w:t>
      </w:r>
      <w:proofErr w:type="spellEnd"/>
      <w:r w:rsidRPr="00213921">
        <w:rPr>
          <w:rFonts w:ascii="Helvetica" w:eastAsia="Helvetica" w:hAnsi="Helvetica" w:cs="Helvetica"/>
          <w:b/>
          <w:bCs/>
          <w:sz w:val="28"/>
          <w:szCs w:val="28"/>
        </w:rPr>
        <w:t xml:space="preserve"> 8 Pro</w:t>
      </w:r>
      <w:r w:rsidR="00E75D91">
        <w:rPr>
          <w:rFonts w:ascii="Helvetica" w:eastAsia="Helvetica" w:hAnsi="Helvetica" w:cs="Helvetica"/>
          <w:b/>
          <w:bCs/>
          <w:sz w:val="28"/>
          <w:szCs w:val="28"/>
        </w:rPr>
        <w:t>“</w:t>
      </w:r>
      <w:r w:rsidRPr="00213921">
        <w:rPr>
          <w:rFonts w:ascii="Helvetica" w:eastAsia="Helvetica" w:hAnsi="Helvetica" w:cs="Helvetica"/>
          <w:b/>
          <w:bCs/>
          <w:sz w:val="28"/>
          <w:szCs w:val="28"/>
        </w:rPr>
        <w:t xml:space="preserve"> seriją – naujas žingsnis išmaniųjų laikrodžių evoliucijoje</w:t>
      </w:r>
      <w:r w:rsidR="002163C0" w:rsidRPr="00952A8C">
        <w:rPr>
          <w:rFonts w:ascii="Helvetica" w:eastAsia="Helvetica" w:hAnsi="Helvetica" w:cs="Helvetica"/>
          <w:b/>
          <w:bCs/>
          <w:sz w:val="22"/>
          <w:szCs w:val="22"/>
        </w:rPr>
        <w:br/>
      </w:r>
    </w:p>
    <w:p w14:paraId="17D3B3B4" w14:textId="3E0DC5C2" w:rsidR="00FC53A0" w:rsidRDefault="001F2F95">
      <w:pPr>
        <w:pStyle w:val="Body"/>
        <w:jc w:val="both"/>
        <w:rPr>
          <w:rFonts w:ascii="Helvetica" w:hAnsi="Helvetica"/>
          <w:b/>
          <w:bCs/>
          <w:sz w:val="22"/>
          <w:szCs w:val="22"/>
        </w:rPr>
      </w:pPr>
      <w:r>
        <w:rPr>
          <w:rFonts w:ascii="Helvetica" w:hAnsi="Helvetica"/>
          <w:b/>
          <w:bCs/>
          <w:sz w:val="22"/>
          <w:szCs w:val="22"/>
        </w:rPr>
        <w:t>Pasaulyje pirmaujanti GPS technologijų bendrovė „</w:t>
      </w:r>
      <w:proofErr w:type="spellStart"/>
      <w:r>
        <w:rPr>
          <w:rFonts w:ascii="Helvetica" w:hAnsi="Helvetica"/>
          <w:b/>
          <w:bCs/>
          <w:sz w:val="22"/>
          <w:szCs w:val="22"/>
        </w:rPr>
        <w:t>Garmin</w:t>
      </w:r>
      <w:proofErr w:type="spellEnd"/>
      <w:r>
        <w:rPr>
          <w:rFonts w:ascii="Helvetica" w:hAnsi="Helvetica"/>
          <w:b/>
          <w:bCs/>
          <w:sz w:val="22"/>
          <w:szCs w:val="22"/>
        </w:rPr>
        <w:t xml:space="preserve">“ žengia į naują išmaniųjų laikrodžių erą ir pristato </w:t>
      </w:r>
      <w:r w:rsidR="00E75D91">
        <w:rPr>
          <w:rFonts w:ascii="Helvetica" w:hAnsi="Helvetica"/>
          <w:b/>
          <w:bCs/>
          <w:sz w:val="22"/>
          <w:szCs w:val="22"/>
        </w:rPr>
        <w:t>„</w:t>
      </w:r>
      <w:proofErr w:type="spellStart"/>
      <w:r w:rsidR="0033363F">
        <w:rPr>
          <w:rFonts w:ascii="Helvetica" w:hAnsi="Helvetica"/>
          <w:b/>
          <w:bCs/>
          <w:sz w:val="22"/>
          <w:szCs w:val="22"/>
        </w:rPr>
        <w:t>F</w:t>
      </w:r>
      <w:r w:rsidRPr="001F2F95">
        <w:rPr>
          <w:rFonts w:ascii="Helvetica" w:hAnsi="Helvetica"/>
          <w:b/>
          <w:bCs/>
          <w:sz w:val="22"/>
          <w:szCs w:val="22"/>
        </w:rPr>
        <w:t>ēnix</w:t>
      </w:r>
      <w:proofErr w:type="spellEnd"/>
      <w:r w:rsidRPr="001F2F95">
        <w:rPr>
          <w:rFonts w:ascii="Helvetica" w:hAnsi="Helvetica"/>
          <w:b/>
          <w:bCs/>
          <w:sz w:val="22"/>
          <w:szCs w:val="22"/>
        </w:rPr>
        <w:t>® 8 Pro</w:t>
      </w:r>
      <w:r w:rsidR="00E75D91">
        <w:rPr>
          <w:rFonts w:ascii="Helvetica" w:hAnsi="Helvetica"/>
          <w:b/>
          <w:bCs/>
          <w:sz w:val="22"/>
          <w:szCs w:val="22"/>
        </w:rPr>
        <w:t>“</w:t>
      </w:r>
      <w:r w:rsidRPr="001F2F95">
        <w:rPr>
          <w:rFonts w:ascii="Helvetica" w:hAnsi="Helvetica"/>
          <w:b/>
          <w:bCs/>
          <w:sz w:val="22"/>
          <w:szCs w:val="22"/>
        </w:rPr>
        <w:t xml:space="preserve"> seriją</w:t>
      </w:r>
      <w:r>
        <w:rPr>
          <w:rFonts w:ascii="Helvetica" w:hAnsi="Helvetica"/>
          <w:b/>
          <w:bCs/>
          <w:sz w:val="22"/>
          <w:szCs w:val="22"/>
        </w:rPr>
        <w:t xml:space="preserve">. Tai aukščiausios klasės išmanieji laikrodžiai, vieninteliai rinkoje turintys </w:t>
      </w:r>
      <w:r w:rsidR="00E75D91">
        <w:rPr>
          <w:rFonts w:ascii="Helvetica" w:hAnsi="Helvetica"/>
          <w:b/>
          <w:bCs/>
          <w:sz w:val="22"/>
          <w:szCs w:val="22"/>
        </w:rPr>
        <w:t>„</w:t>
      </w:r>
      <w:proofErr w:type="spellStart"/>
      <w:r w:rsidRPr="001F2F95">
        <w:rPr>
          <w:rFonts w:ascii="Helvetica" w:hAnsi="Helvetica"/>
          <w:b/>
          <w:bCs/>
          <w:sz w:val="22"/>
          <w:szCs w:val="22"/>
        </w:rPr>
        <w:t>inReach</w:t>
      </w:r>
      <w:proofErr w:type="spellEnd"/>
      <w:r w:rsidRPr="001F2F95">
        <w:rPr>
          <w:rFonts w:ascii="Helvetica" w:hAnsi="Helvetica"/>
          <w:b/>
          <w:bCs/>
          <w:sz w:val="22"/>
          <w:szCs w:val="22"/>
        </w:rPr>
        <w:t>®</w:t>
      </w:r>
      <w:r w:rsidR="00E75D91">
        <w:rPr>
          <w:rFonts w:ascii="Helvetica" w:hAnsi="Helvetica"/>
          <w:b/>
          <w:bCs/>
          <w:sz w:val="22"/>
          <w:szCs w:val="22"/>
        </w:rPr>
        <w:t>“</w:t>
      </w:r>
      <w:r>
        <w:rPr>
          <w:rFonts w:ascii="Helvetica" w:hAnsi="Helvetica"/>
          <w:b/>
          <w:bCs/>
          <w:sz w:val="22"/>
          <w:szCs w:val="22"/>
        </w:rPr>
        <w:t xml:space="preserve"> technologiją, kuri suteikia galimybę būti pasiekiamiems</w:t>
      </w:r>
      <w:r w:rsidR="000C5E2B">
        <w:rPr>
          <w:rFonts w:ascii="Helvetica" w:hAnsi="Helvetica"/>
          <w:b/>
          <w:bCs/>
          <w:sz w:val="22"/>
          <w:szCs w:val="22"/>
        </w:rPr>
        <w:t xml:space="preserve"> tiek per palydovinį, tiek per mobilųjį ryšį</w:t>
      </w:r>
      <w:r w:rsidR="000C5E2B">
        <w:rPr>
          <w:rStyle w:val="FootnoteReference"/>
          <w:rFonts w:ascii="Helvetica" w:hAnsi="Helvetica"/>
          <w:b/>
          <w:bCs/>
          <w:sz w:val="22"/>
          <w:szCs w:val="22"/>
        </w:rPr>
        <w:footnoteReference w:id="1"/>
      </w:r>
      <w:r w:rsidR="000C5E2B">
        <w:rPr>
          <w:rFonts w:ascii="Helvetica" w:hAnsi="Helvetica"/>
          <w:b/>
          <w:bCs/>
          <w:sz w:val="22"/>
          <w:szCs w:val="22"/>
        </w:rPr>
        <w:t>.</w:t>
      </w:r>
      <w:r>
        <w:rPr>
          <w:rFonts w:ascii="Helvetica" w:hAnsi="Helvetica"/>
          <w:b/>
          <w:bCs/>
          <w:sz w:val="22"/>
          <w:szCs w:val="22"/>
        </w:rPr>
        <w:t xml:space="preserve"> </w:t>
      </w:r>
      <w:r w:rsidRPr="001F2F95">
        <w:rPr>
          <w:rFonts w:ascii="Helvetica" w:hAnsi="Helvetica"/>
          <w:b/>
          <w:bCs/>
          <w:sz w:val="22"/>
          <w:szCs w:val="22"/>
        </w:rPr>
        <w:t xml:space="preserve">Be to, </w:t>
      </w:r>
      <w:r>
        <w:rPr>
          <w:rFonts w:ascii="Helvetica" w:hAnsi="Helvetica"/>
          <w:b/>
          <w:bCs/>
          <w:sz w:val="22"/>
          <w:szCs w:val="22"/>
        </w:rPr>
        <w:t xml:space="preserve">naujos serijos laikrodžiai turi </w:t>
      </w:r>
      <w:r w:rsidRPr="001F2F95">
        <w:rPr>
          <w:rFonts w:ascii="Helvetica" w:hAnsi="Helvetica"/>
          <w:b/>
          <w:bCs/>
          <w:sz w:val="22"/>
          <w:szCs w:val="22"/>
        </w:rPr>
        <w:t xml:space="preserve">itin ryškų </w:t>
      </w:r>
      <w:proofErr w:type="spellStart"/>
      <w:r w:rsidRPr="001F2F95">
        <w:rPr>
          <w:rFonts w:ascii="Helvetica" w:hAnsi="Helvetica"/>
          <w:b/>
          <w:bCs/>
          <w:sz w:val="22"/>
          <w:szCs w:val="22"/>
        </w:rPr>
        <w:t>MicroLED</w:t>
      </w:r>
      <w:proofErr w:type="spellEnd"/>
      <w:r w:rsidRPr="001F2F95">
        <w:rPr>
          <w:rFonts w:ascii="Helvetica" w:hAnsi="Helvetica"/>
          <w:b/>
          <w:bCs/>
          <w:sz w:val="22"/>
          <w:szCs w:val="22"/>
        </w:rPr>
        <w:t xml:space="preserve"> ekraną, užtikrinantį </w:t>
      </w:r>
      <w:r>
        <w:rPr>
          <w:rFonts w:ascii="Helvetica" w:hAnsi="Helvetica"/>
          <w:b/>
          <w:bCs/>
          <w:sz w:val="22"/>
          <w:szCs w:val="22"/>
        </w:rPr>
        <w:t xml:space="preserve">aukščiausios kokybės </w:t>
      </w:r>
      <w:r w:rsidRPr="001F2F95">
        <w:rPr>
          <w:rFonts w:ascii="Helvetica" w:hAnsi="Helvetica"/>
          <w:b/>
          <w:bCs/>
          <w:sz w:val="22"/>
          <w:szCs w:val="22"/>
        </w:rPr>
        <w:t>raišką</w:t>
      </w:r>
      <w:r>
        <w:rPr>
          <w:rFonts w:ascii="Helvetica" w:hAnsi="Helvetica"/>
          <w:b/>
          <w:bCs/>
          <w:sz w:val="22"/>
          <w:szCs w:val="22"/>
        </w:rPr>
        <w:t xml:space="preserve">.  </w:t>
      </w:r>
    </w:p>
    <w:p w14:paraId="5CA0753D" w14:textId="77777777" w:rsidR="00A25C7A" w:rsidRDefault="00A25C7A">
      <w:pPr>
        <w:pStyle w:val="Body"/>
        <w:jc w:val="both"/>
        <w:rPr>
          <w:rFonts w:ascii="Helvetica" w:eastAsia="Helvetica" w:hAnsi="Helvetica" w:cs="Helvetica"/>
          <w:b/>
          <w:bCs/>
          <w:sz w:val="22"/>
          <w:szCs w:val="22"/>
        </w:rPr>
      </w:pPr>
    </w:p>
    <w:p w14:paraId="1BC468A6" w14:textId="27FE33AE" w:rsidR="008C74AA" w:rsidRDefault="00DF1193">
      <w:pPr>
        <w:pStyle w:val="Body"/>
        <w:jc w:val="both"/>
        <w:rPr>
          <w:rFonts w:ascii="Helvetica" w:eastAsia="Helvetica" w:hAnsi="Helvetica" w:cs="Helvetica"/>
          <w:b/>
          <w:bCs/>
          <w:sz w:val="22"/>
          <w:szCs w:val="22"/>
        </w:rPr>
      </w:pPr>
      <w:r w:rsidRPr="00DF1193">
        <w:rPr>
          <w:rFonts w:ascii="Helvetica" w:eastAsia="Helvetica" w:hAnsi="Helvetica" w:cs="Helvetica"/>
          <w:sz w:val="22"/>
          <w:szCs w:val="22"/>
        </w:rPr>
        <w:t>„</w:t>
      </w:r>
      <w:r w:rsidR="001F2F95">
        <w:rPr>
          <w:rFonts w:ascii="Helvetica" w:eastAsia="Helvetica" w:hAnsi="Helvetica" w:cs="Helvetica"/>
          <w:sz w:val="22"/>
          <w:szCs w:val="22"/>
        </w:rPr>
        <w:t>Su šios serijos išmaniaisiais laikrodžiais keičiame išmaniųjų laikrodžių rink</w:t>
      </w:r>
      <w:r w:rsidR="00D00459">
        <w:rPr>
          <w:rFonts w:ascii="Helvetica" w:eastAsia="Helvetica" w:hAnsi="Helvetica" w:cs="Helvetica"/>
          <w:sz w:val="22"/>
          <w:szCs w:val="22"/>
        </w:rPr>
        <w:t>ą</w:t>
      </w:r>
      <w:r w:rsidR="001F2F95">
        <w:rPr>
          <w:rFonts w:ascii="Helvetica" w:eastAsia="Helvetica" w:hAnsi="Helvetica" w:cs="Helvetica"/>
          <w:sz w:val="22"/>
          <w:szCs w:val="22"/>
        </w:rPr>
        <w:t xml:space="preserve">. </w:t>
      </w:r>
      <w:r w:rsidR="00E75D91">
        <w:rPr>
          <w:rFonts w:ascii="Helvetica" w:eastAsia="Helvetica" w:hAnsi="Helvetica" w:cs="Helvetica"/>
          <w:sz w:val="22"/>
          <w:szCs w:val="22"/>
        </w:rPr>
        <w:t>„</w:t>
      </w:r>
      <w:proofErr w:type="spellStart"/>
      <w:r w:rsidR="00E75D91">
        <w:rPr>
          <w:rFonts w:ascii="Helvetica" w:eastAsia="Helvetica" w:hAnsi="Helvetica" w:cs="Helvetica"/>
          <w:sz w:val="22"/>
          <w:szCs w:val="22"/>
        </w:rPr>
        <w:t>F</w:t>
      </w:r>
      <w:r w:rsidR="001F2F95" w:rsidRPr="001F2F95">
        <w:rPr>
          <w:rFonts w:ascii="Helvetica" w:eastAsia="Helvetica" w:hAnsi="Helvetica" w:cs="Helvetica"/>
          <w:sz w:val="22"/>
          <w:szCs w:val="22"/>
        </w:rPr>
        <w:t>ēnix</w:t>
      </w:r>
      <w:proofErr w:type="spellEnd"/>
      <w:r w:rsidR="001F2F95" w:rsidRPr="001F2F95">
        <w:rPr>
          <w:rFonts w:ascii="Helvetica" w:eastAsia="Helvetica" w:hAnsi="Helvetica" w:cs="Helvetica"/>
          <w:sz w:val="22"/>
          <w:szCs w:val="22"/>
        </w:rPr>
        <w:t xml:space="preserve"> 8 Pro</w:t>
      </w:r>
      <w:r w:rsidR="00E75D91">
        <w:rPr>
          <w:rFonts w:ascii="Helvetica" w:eastAsia="Helvetica" w:hAnsi="Helvetica" w:cs="Helvetica"/>
          <w:sz w:val="22"/>
          <w:szCs w:val="22"/>
        </w:rPr>
        <w:t>“</w:t>
      </w:r>
      <w:r w:rsidR="001F2F95">
        <w:rPr>
          <w:rFonts w:ascii="Helvetica" w:eastAsia="Helvetica" w:hAnsi="Helvetica" w:cs="Helvetica"/>
          <w:sz w:val="22"/>
          <w:szCs w:val="22"/>
        </w:rPr>
        <w:t xml:space="preserve"> serija kupina inovacijų – naudotojai gali palaikyti ry</w:t>
      </w:r>
      <w:r w:rsidR="00D00459">
        <w:rPr>
          <w:rFonts w:ascii="Helvetica" w:eastAsia="Helvetica" w:hAnsi="Helvetica" w:cs="Helvetica"/>
          <w:sz w:val="22"/>
          <w:szCs w:val="22"/>
        </w:rPr>
        <w:t xml:space="preserve">šį su šeima ir draugais net palikę telefoną namuose, o pirmasis pasaulyje itin ryškus </w:t>
      </w:r>
      <w:proofErr w:type="spellStart"/>
      <w:r w:rsidR="00D00459">
        <w:rPr>
          <w:rFonts w:ascii="Helvetica" w:eastAsia="Helvetica" w:hAnsi="Helvetica" w:cs="Helvetica"/>
          <w:sz w:val="22"/>
          <w:szCs w:val="22"/>
        </w:rPr>
        <w:t>MicroLED</w:t>
      </w:r>
      <w:proofErr w:type="spellEnd"/>
      <w:r w:rsidR="00D00459">
        <w:rPr>
          <w:rFonts w:ascii="Helvetica" w:eastAsia="Helvetica" w:hAnsi="Helvetica" w:cs="Helvetica"/>
          <w:sz w:val="22"/>
          <w:szCs w:val="22"/>
        </w:rPr>
        <w:t xml:space="preserve"> ekranas užtikrina nepriekaištingą žemėlapių, treniruočių statistikos ir kitų duomenų matomumą bet kokiomis oro sąlygomis</w:t>
      </w:r>
      <w:r w:rsidR="00662A93">
        <w:rPr>
          <w:rFonts w:ascii="Helvetica" w:eastAsia="Helvetica" w:hAnsi="Helvetica" w:cs="Helvetica"/>
          <w:sz w:val="22"/>
          <w:szCs w:val="22"/>
        </w:rPr>
        <w:t xml:space="preserve">“, – sako </w:t>
      </w:r>
      <w:r w:rsidR="00662A93" w:rsidRPr="00662A93">
        <w:rPr>
          <w:rFonts w:ascii="Helvetica" w:eastAsia="Helvetica" w:hAnsi="Helvetica" w:cs="Helvetica"/>
          <w:sz w:val="22"/>
          <w:szCs w:val="22"/>
        </w:rPr>
        <w:t>„</w:t>
      </w:r>
      <w:proofErr w:type="spellStart"/>
      <w:r w:rsidR="00662A93" w:rsidRPr="00662A93">
        <w:rPr>
          <w:rFonts w:ascii="Helvetica" w:eastAsia="Helvetica" w:hAnsi="Helvetica" w:cs="Helvetica"/>
          <w:sz w:val="22"/>
          <w:szCs w:val="22"/>
        </w:rPr>
        <w:t>Garmin</w:t>
      </w:r>
      <w:proofErr w:type="spellEnd"/>
      <w:r w:rsidR="00662A93" w:rsidRPr="00662A93">
        <w:rPr>
          <w:rFonts w:ascii="Helvetica" w:eastAsia="Helvetica" w:hAnsi="Helvetica" w:cs="Helvetica"/>
          <w:sz w:val="22"/>
          <w:szCs w:val="22"/>
        </w:rPr>
        <w:t xml:space="preserve">“ pardavimų ir rinkodaros viceprezidentė Susan </w:t>
      </w:r>
      <w:proofErr w:type="spellStart"/>
      <w:r w:rsidR="00662A93" w:rsidRPr="00662A93">
        <w:rPr>
          <w:rFonts w:ascii="Helvetica" w:eastAsia="Helvetica" w:hAnsi="Helvetica" w:cs="Helvetica"/>
          <w:sz w:val="22"/>
          <w:szCs w:val="22"/>
        </w:rPr>
        <w:t>Lyman</w:t>
      </w:r>
      <w:proofErr w:type="spellEnd"/>
      <w:r w:rsidR="00662A93" w:rsidRPr="00662A93">
        <w:rPr>
          <w:rFonts w:ascii="Helvetica" w:eastAsia="Helvetica" w:hAnsi="Helvetica" w:cs="Helvetica"/>
          <w:sz w:val="22"/>
          <w:szCs w:val="22"/>
        </w:rPr>
        <w:t>.</w:t>
      </w:r>
    </w:p>
    <w:p w14:paraId="5D0E76AD" w14:textId="77777777" w:rsidR="00662A93" w:rsidRPr="004337C8" w:rsidRDefault="00662A93">
      <w:pPr>
        <w:pStyle w:val="Body"/>
        <w:jc w:val="both"/>
        <w:rPr>
          <w:rFonts w:ascii="Helvetica" w:eastAsia="Helvetica" w:hAnsi="Helvetica" w:cs="Helvetica"/>
          <w:sz w:val="22"/>
          <w:szCs w:val="22"/>
          <w:lang w:val="en-GB"/>
        </w:rPr>
      </w:pPr>
    </w:p>
    <w:p w14:paraId="6C04E038" w14:textId="1ABF589D" w:rsidR="00FC53A0" w:rsidRDefault="003E7AE0" w:rsidP="00BD36F6">
      <w:pPr>
        <w:pStyle w:val="Body"/>
        <w:jc w:val="both"/>
        <w:rPr>
          <w:rFonts w:ascii="Helvetica" w:hAnsi="Helvetica"/>
          <w:b/>
          <w:bCs/>
          <w:sz w:val="22"/>
          <w:szCs w:val="22"/>
        </w:rPr>
      </w:pPr>
      <w:r>
        <w:rPr>
          <w:rFonts w:ascii="Helvetica" w:hAnsi="Helvetica"/>
          <w:b/>
          <w:bCs/>
          <w:sz w:val="22"/>
          <w:szCs w:val="22"/>
        </w:rPr>
        <w:t xml:space="preserve">Susisiekimas net jei telefono nėra </w:t>
      </w:r>
      <w:r w:rsidR="00642BAB">
        <w:rPr>
          <w:rFonts w:ascii="Helvetica" w:hAnsi="Helvetica"/>
          <w:b/>
          <w:bCs/>
          <w:sz w:val="22"/>
          <w:szCs w:val="22"/>
        </w:rPr>
        <w:t>šalia</w:t>
      </w:r>
    </w:p>
    <w:p w14:paraId="65030DD4" w14:textId="77777777" w:rsidR="007C0D94" w:rsidRDefault="007C0D94" w:rsidP="00BD36F6">
      <w:pPr>
        <w:pStyle w:val="Body"/>
        <w:jc w:val="both"/>
        <w:rPr>
          <w:rFonts w:ascii="Helvetica" w:hAnsi="Helvetica"/>
          <w:b/>
          <w:bCs/>
          <w:sz w:val="22"/>
          <w:szCs w:val="22"/>
        </w:rPr>
      </w:pPr>
    </w:p>
    <w:p w14:paraId="1790E162" w14:textId="218DB338" w:rsidR="007C0D94" w:rsidRDefault="00E75D91" w:rsidP="007C0D94">
      <w:pPr>
        <w:pStyle w:val="Body"/>
        <w:jc w:val="both"/>
        <w:rPr>
          <w:rFonts w:ascii="Helvetica" w:eastAsia="Helvetica" w:hAnsi="Helvetica" w:cs="Helvetica"/>
          <w:sz w:val="22"/>
          <w:szCs w:val="22"/>
        </w:rPr>
      </w:pPr>
      <w:r>
        <w:rPr>
          <w:rFonts w:ascii="Helvetica" w:eastAsia="Helvetica" w:hAnsi="Helvetica" w:cs="Helvetica"/>
          <w:sz w:val="22"/>
          <w:szCs w:val="22"/>
        </w:rPr>
        <w:t>„</w:t>
      </w:r>
      <w:proofErr w:type="spellStart"/>
      <w:r w:rsidR="00286CBA">
        <w:rPr>
          <w:rFonts w:ascii="Helvetica" w:eastAsia="Helvetica" w:hAnsi="Helvetica" w:cs="Helvetica"/>
          <w:sz w:val="22"/>
          <w:szCs w:val="22"/>
        </w:rPr>
        <w:t>F</w:t>
      </w:r>
      <w:r w:rsidR="003E7AE0" w:rsidRPr="003E7AE0">
        <w:rPr>
          <w:rFonts w:ascii="Helvetica" w:eastAsia="Helvetica" w:hAnsi="Helvetica" w:cs="Helvetica"/>
          <w:sz w:val="22"/>
          <w:szCs w:val="22"/>
        </w:rPr>
        <w:t>ēnix</w:t>
      </w:r>
      <w:proofErr w:type="spellEnd"/>
      <w:r w:rsidR="003E7AE0" w:rsidRPr="003E7AE0">
        <w:rPr>
          <w:rFonts w:ascii="Helvetica" w:eastAsia="Helvetica" w:hAnsi="Helvetica" w:cs="Helvetica"/>
          <w:sz w:val="22"/>
          <w:szCs w:val="22"/>
        </w:rPr>
        <w:t xml:space="preserve"> 8 Pro</w:t>
      </w:r>
      <w:r>
        <w:rPr>
          <w:rFonts w:ascii="Helvetica" w:eastAsia="Helvetica" w:hAnsi="Helvetica" w:cs="Helvetica"/>
          <w:sz w:val="22"/>
          <w:szCs w:val="22"/>
        </w:rPr>
        <w:t>“</w:t>
      </w:r>
      <w:r w:rsidR="003E7AE0">
        <w:rPr>
          <w:rFonts w:ascii="Helvetica" w:eastAsia="Helvetica" w:hAnsi="Helvetica" w:cs="Helvetica"/>
          <w:sz w:val="22"/>
          <w:szCs w:val="22"/>
        </w:rPr>
        <w:t xml:space="preserve"> serijos gaminiai sukurti tiems, kurie keliaujant, sportuojant ar tiesiog leidžiant laiką gamtoje nori likti pasiekiami net šalia neturint išmaniojo telefono. </w:t>
      </w:r>
      <w:r w:rsidR="00841310">
        <w:rPr>
          <w:rFonts w:ascii="Helvetica" w:eastAsia="Helvetica" w:hAnsi="Helvetica" w:cs="Helvetica"/>
          <w:sz w:val="22"/>
          <w:szCs w:val="22"/>
        </w:rPr>
        <w:t>I</w:t>
      </w:r>
      <w:r w:rsidR="00841310" w:rsidRPr="00841310">
        <w:rPr>
          <w:rFonts w:ascii="Helvetica" w:eastAsia="Helvetica" w:hAnsi="Helvetica" w:cs="Helvetica"/>
          <w:sz w:val="22"/>
          <w:szCs w:val="22"/>
        </w:rPr>
        <w:t>ntegruot</w:t>
      </w:r>
      <w:r w:rsidR="00841310">
        <w:rPr>
          <w:rFonts w:ascii="Helvetica" w:eastAsia="Helvetica" w:hAnsi="Helvetica" w:cs="Helvetica"/>
          <w:sz w:val="22"/>
          <w:szCs w:val="22"/>
        </w:rPr>
        <w:t>a</w:t>
      </w:r>
      <w:r w:rsidR="00841310" w:rsidRPr="00841310">
        <w:rPr>
          <w:rFonts w:ascii="Helvetica" w:eastAsia="Helvetica" w:hAnsi="Helvetica" w:cs="Helvetica"/>
          <w:sz w:val="22"/>
          <w:szCs w:val="22"/>
        </w:rPr>
        <w:t xml:space="preserve"> </w:t>
      </w:r>
      <w:r w:rsidR="00E241D6">
        <w:rPr>
          <w:rFonts w:ascii="Helvetica" w:eastAsia="Helvetica" w:hAnsi="Helvetica" w:cs="Helvetica"/>
          <w:sz w:val="22"/>
          <w:szCs w:val="22"/>
        </w:rPr>
        <w:t>„</w:t>
      </w:r>
      <w:proofErr w:type="spellStart"/>
      <w:r w:rsidR="00841310" w:rsidRPr="00841310">
        <w:rPr>
          <w:rFonts w:ascii="Helvetica" w:eastAsia="Helvetica" w:hAnsi="Helvetica" w:cs="Helvetica"/>
          <w:sz w:val="22"/>
          <w:szCs w:val="22"/>
        </w:rPr>
        <w:t>inReach</w:t>
      </w:r>
      <w:proofErr w:type="spellEnd"/>
      <w:r w:rsidR="00E241D6">
        <w:rPr>
          <w:rFonts w:ascii="Helvetica" w:eastAsia="Helvetica" w:hAnsi="Helvetica" w:cs="Helvetica"/>
          <w:sz w:val="22"/>
          <w:szCs w:val="22"/>
        </w:rPr>
        <w:t>“</w:t>
      </w:r>
      <w:r w:rsidR="00841310">
        <w:rPr>
          <w:rFonts w:ascii="Helvetica" w:eastAsia="Helvetica" w:hAnsi="Helvetica" w:cs="Helvetica"/>
          <w:sz w:val="22"/>
          <w:szCs w:val="22"/>
        </w:rPr>
        <w:t xml:space="preserve"> technologija leidžia palaikyti ryšį tiek per palydovinį, tiek per mobilųjį tinklą. </w:t>
      </w:r>
    </w:p>
    <w:p w14:paraId="65FF511B" w14:textId="77777777" w:rsidR="00841310" w:rsidRDefault="00841310" w:rsidP="007C0D94">
      <w:pPr>
        <w:pStyle w:val="Body"/>
        <w:jc w:val="both"/>
        <w:rPr>
          <w:rFonts w:ascii="Helvetica" w:eastAsia="Helvetica" w:hAnsi="Helvetica" w:cs="Helvetica"/>
          <w:sz w:val="22"/>
          <w:szCs w:val="22"/>
        </w:rPr>
      </w:pPr>
    </w:p>
    <w:p w14:paraId="75C6D942" w14:textId="37C5081D" w:rsidR="00841310" w:rsidRDefault="00841310" w:rsidP="007C0D94">
      <w:pPr>
        <w:pStyle w:val="Body"/>
        <w:jc w:val="both"/>
        <w:rPr>
          <w:rFonts w:ascii="Helvetica" w:eastAsia="Helvetica" w:hAnsi="Helvetica" w:cs="Helvetica"/>
          <w:sz w:val="22"/>
          <w:szCs w:val="22"/>
        </w:rPr>
      </w:pPr>
      <w:r w:rsidRPr="00841310">
        <w:rPr>
          <w:rFonts w:ascii="Helvetica" w:eastAsia="Helvetica" w:hAnsi="Helvetica" w:cs="Helvetica"/>
          <w:sz w:val="22"/>
          <w:szCs w:val="22"/>
        </w:rPr>
        <w:t xml:space="preserve">Naudojant </w:t>
      </w:r>
      <w:r w:rsidR="00E75D91">
        <w:rPr>
          <w:rFonts w:ascii="Helvetica" w:eastAsia="Helvetica" w:hAnsi="Helvetica" w:cs="Helvetica"/>
          <w:sz w:val="22"/>
          <w:szCs w:val="22"/>
        </w:rPr>
        <w:t>„</w:t>
      </w:r>
      <w:proofErr w:type="spellStart"/>
      <w:r w:rsidRPr="00841310">
        <w:rPr>
          <w:rFonts w:ascii="Helvetica" w:eastAsia="Helvetica" w:hAnsi="Helvetica" w:cs="Helvetica"/>
          <w:sz w:val="22"/>
          <w:szCs w:val="22"/>
        </w:rPr>
        <w:t>inReach</w:t>
      </w:r>
      <w:proofErr w:type="spellEnd"/>
      <w:r w:rsidR="00E75D91">
        <w:rPr>
          <w:rFonts w:ascii="Helvetica" w:eastAsia="Helvetica" w:hAnsi="Helvetica" w:cs="Helvetica"/>
          <w:sz w:val="22"/>
          <w:szCs w:val="22"/>
        </w:rPr>
        <w:t>“</w:t>
      </w:r>
      <w:r w:rsidRPr="00841310">
        <w:rPr>
          <w:rFonts w:ascii="Helvetica" w:eastAsia="Helvetica" w:hAnsi="Helvetica" w:cs="Helvetica"/>
          <w:sz w:val="22"/>
          <w:szCs w:val="22"/>
        </w:rPr>
        <w:t xml:space="preserve"> technologiją, </w:t>
      </w:r>
      <w:r w:rsidR="00E75D91">
        <w:rPr>
          <w:rFonts w:ascii="Helvetica" w:eastAsia="Helvetica" w:hAnsi="Helvetica" w:cs="Helvetica"/>
          <w:sz w:val="22"/>
          <w:szCs w:val="22"/>
        </w:rPr>
        <w:t>„</w:t>
      </w:r>
      <w:proofErr w:type="spellStart"/>
      <w:r w:rsidR="00A676BC">
        <w:rPr>
          <w:rFonts w:ascii="Helvetica" w:eastAsia="Helvetica" w:hAnsi="Helvetica" w:cs="Helvetica"/>
          <w:sz w:val="22"/>
          <w:szCs w:val="22"/>
        </w:rPr>
        <w:t>F</w:t>
      </w:r>
      <w:r w:rsidRPr="00841310">
        <w:rPr>
          <w:rFonts w:ascii="Helvetica" w:eastAsia="Helvetica" w:hAnsi="Helvetica" w:cs="Helvetica"/>
          <w:sz w:val="22"/>
          <w:szCs w:val="22"/>
        </w:rPr>
        <w:t>ēnix</w:t>
      </w:r>
      <w:proofErr w:type="spellEnd"/>
      <w:r>
        <w:rPr>
          <w:rFonts w:ascii="Helvetica" w:eastAsia="Helvetica" w:hAnsi="Helvetica" w:cs="Helvetica"/>
          <w:sz w:val="22"/>
          <w:szCs w:val="22"/>
        </w:rPr>
        <w:t xml:space="preserve"> </w:t>
      </w:r>
      <w:r w:rsidRPr="00841310">
        <w:rPr>
          <w:rFonts w:ascii="Helvetica" w:eastAsia="Helvetica" w:hAnsi="Helvetica" w:cs="Helvetica"/>
          <w:sz w:val="22"/>
          <w:szCs w:val="22"/>
        </w:rPr>
        <w:t>8 Pro</w:t>
      </w:r>
      <w:r w:rsidR="00E75D91">
        <w:rPr>
          <w:rFonts w:ascii="Helvetica" w:eastAsia="Helvetica" w:hAnsi="Helvetica" w:cs="Helvetica"/>
          <w:sz w:val="22"/>
          <w:szCs w:val="22"/>
        </w:rPr>
        <w:t>“</w:t>
      </w:r>
      <w:r w:rsidRPr="00841310">
        <w:rPr>
          <w:rFonts w:ascii="Helvetica" w:eastAsia="Helvetica" w:hAnsi="Helvetica" w:cs="Helvetica"/>
          <w:sz w:val="22"/>
          <w:szCs w:val="22"/>
        </w:rPr>
        <w:t xml:space="preserve"> leidžia keliautojams siųsti tekstines žinutes ir da</w:t>
      </w:r>
      <w:r>
        <w:rPr>
          <w:rFonts w:ascii="Helvetica" w:eastAsia="Helvetica" w:hAnsi="Helvetica" w:cs="Helvetica"/>
          <w:sz w:val="22"/>
          <w:szCs w:val="22"/>
        </w:rPr>
        <w:t>lytis</w:t>
      </w:r>
      <w:r w:rsidRPr="00841310">
        <w:rPr>
          <w:rFonts w:ascii="Helvetica" w:eastAsia="Helvetica" w:hAnsi="Helvetica" w:cs="Helvetica"/>
          <w:sz w:val="22"/>
          <w:szCs w:val="22"/>
        </w:rPr>
        <w:t xml:space="preserve"> savo buvimo vietos informacija. Be to, galima patogiai siųsti buvimo vietos atnaujinimus šeimai ir draugams, kad jie galėtų realiu laiku sekti kelionės eigą</w:t>
      </w:r>
      <w:r w:rsidR="001A083D">
        <w:rPr>
          <w:rFonts w:ascii="Helvetica" w:eastAsia="Helvetica" w:hAnsi="Helvetica" w:cs="Helvetica"/>
          <w:sz w:val="22"/>
          <w:szCs w:val="22"/>
        </w:rPr>
        <w:t>.</w:t>
      </w:r>
    </w:p>
    <w:p w14:paraId="572BF514" w14:textId="77777777" w:rsidR="00662A93" w:rsidRPr="007C0D94" w:rsidRDefault="00662A93" w:rsidP="007C0D94">
      <w:pPr>
        <w:pStyle w:val="Body"/>
        <w:jc w:val="both"/>
        <w:rPr>
          <w:rFonts w:ascii="Helvetica" w:eastAsia="Helvetica" w:hAnsi="Helvetica" w:cs="Helvetica"/>
          <w:b/>
          <w:bCs/>
          <w:sz w:val="22"/>
          <w:szCs w:val="22"/>
        </w:rPr>
      </w:pPr>
    </w:p>
    <w:p w14:paraId="345AE89B" w14:textId="10D5DB84" w:rsidR="00662A93" w:rsidRDefault="00FA3FE3" w:rsidP="00FA3FE3">
      <w:pPr>
        <w:pStyle w:val="Body"/>
        <w:jc w:val="both"/>
        <w:rPr>
          <w:rFonts w:ascii="Helvetica" w:eastAsia="Helvetica" w:hAnsi="Helvetica" w:cs="Helvetica"/>
          <w:sz w:val="22"/>
          <w:szCs w:val="22"/>
        </w:rPr>
      </w:pPr>
      <w:r w:rsidRPr="00FA3FE3">
        <w:rPr>
          <w:rFonts w:ascii="Helvetica" w:eastAsia="Helvetica" w:hAnsi="Helvetica" w:cs="Helvetica"/>
          <w:sz w:val="22"/>
          <w:szCs w:val="22"/>
        </w:rPr>
        <w:t xml:space="preserve">Be palydovinio, </w:t>
      </w:r>
      <w:r w:rsidR="00E75D91">
        <w:rPr>
          <w:rFonts w:ascii="Helvetica" w:eastAsia="Helvetica" w:hAnsi="Helvetica" w:cs="Helvetica"/>
          <w:sz w:val="22"/>
          <w:szCs w:val="22"/>
        </w:rPr>
        <w:t>„</w:t>
      </w:r>
      <w:proofErr w:type="spellStart"/>
      <w:r w:rsidR="0033363F">
        <w:rPr>
          <w:rFonts w:ascii="Helvetica" w:eastAsia="Helvetica" w:hAnsi="Helvetica" w:cs="Helvetica"/>
          <w:sz w:val="22"/>
          <w:szCs w:val="22"/>
        </w:rPr>
        <w:t>F</w:t>
      </w:r>
      <w:r w:rsidRPr="00FA3FE3">
        <w:rPr>
          <w:rFonts w:ascii="Helvetica" w:eastAsia="Helvetica" w:hAnsi="Helvetica" w:cs="Helvetica"/>
          <w:sz w:val="22"/>
          <w:szCs w:val="22"/>
        </w:rPr>
        <w:t>ēnix</w:t>
      </w:r>
      <w:proofErr w:type="spellEnd"/>
      <w:r w:rsidRPr="00FA3FE3">
        <w:rPr>
          <w:rFonts w:ascii="Helvetica" w:eastAsia="Helvetica" w:hAnsi="Helvetica" w:cs="Helvetica"/>
          <w:sz w:val="22"/>
          <w:szCs w:val="22"/>
        </w:rPr>
        <w:t xml:space="preserve"> 8 Pro</w:t>
      </w:r>
      <w:r w:rsidR="00E75D91">
        <w:rPr>
          <w:rFonts w:ascii="Helvetica" w:eastAsia="Helvetica" w:hAnsi="Helvetica" w:cs="Helvetica"/>
          <w:sz w:val="22"/>
          <w:szCs w:val="22"/>
        </w:rPr>
        <w:t>“</w:t>
      </w:r>
      <w:r w:rsidRPr="00FA3FE3">
        <w:rPr>
          <w:rFonts w:ascii="Helvetica" w:eastAsia="Helvetica" w:hAnsi="Helvetica" w:cs="Helvetica"/>
          <w:sz w:val="22"/>
          <w:szCs w:val="22"/>
        </w:rPr>
        <w:t xml:space="preserve"> palaiko ir LTE ryšį, suteikiantį dar platesnes galimybes. Išmanusis laikrodis leidžia skambinti ir priimti skambučius</w:t>
      </w:r>
      <w:r>
        <w:rPr>
          <w:rFonts w:ascii="Helvetica" w:eastAsia="Helvetica" w:hAnsi="Helvetica" w:cs="Helvetica"/>
          <w:sz w:val="22"/>
          <w:szCs w:val="22"/>
        </w:rPr>
        <w:t xml:space="preserve">, </w:t>
      </w:r>
      <w:r w:rsidRPr="00FA3FE3">
        <w:rPr>
          <w:rFonts w:ascii="Helvetica" w:eastAsia="Helvetica" w:hAnsi="Helvetica" w:cs="Helvetica"/>
          <w:sz w:val="22"/>
          <w:szCs w:val="22"/>
        </w:rPr>
        <w:t xml:space="preserve">siųsti </w:t>
      </w:r>
      <w:r>
        <w:rPr>
          <w:rFonts w:ascii="Helvetica" w:eastAsia="Helvetica" w:hAnsi="Helvetica" w:cs="Helvetica"/>
          <w:sz w:val="22"/>
          <w:szCs w:val="22"/>
        </w:rPr>
        <w:t xml:space="preserve">bei gauti </w:t>
      </w:r>
      <w:r w:rsidRPr="00FA3FE3">
        <w:rPr>
          <w:rFonts w:ascii="Helvetica" w:eastAsia="Helvetica" w:hAnsi="Helvetica" w:cs="Helvetica"/>
          <w:sz w:val="22"/>
          <w:szCs w:val="22"/>
        </w:rPr>
        <w:t>iki 30 sekundžių trukmės balso žinutes</w:t>
      </w:r>
      <w:r>
        <w:rPr>
          <w:rFonts w:ascii="Helvetica" w:eastAsia="Helvetica" w:hAnsi="Helvetica" w:cs="Helvetica"/>
          <w:sz w:val="22"/>
          <w:szCs w:val="22"/>
        </w:rPr>
        <w:t xml:space="preserve">. Funkcija </w:t>
      </w:r>
      <w:r w:rsidR="00E75D91">
        <w:rPr>
          <w:rFonts w:ascii="Helvetica" w:eastAsia="Helvetica" w:hAnsi="Helvetica" w:cs="Helvetica"/>
          <w:sz w:val="22"/>
          <w:szCs w:val="22"/>
        </w:rPr>
        <w:t>„</w:t>
      </w:r>
      <w:proofErr w:type="spellStart"/>
      <w:r w:rsidRPr="00FA3FE3">
        <w:rPr>
          <w:rFonts w:ascii="Helvetica" w:eastAsia="Helvetica" w:hAnsi="Helvetica" w:cs="Helvetica"/>
          <w:sz w:val="22"/>
          <w:szCs w:val="22"/>
        </w:rPr>
        <w:t>LiveTrack</w:t>
      </w:r>
      <w:proofErr w:type="spellEnd"/>
      <w:r w:rsidR="00E75D91">
        <w:rPr>
          <w:rFonts w:ascii="Helvetica" w:eastAsia="Helvetica" w:hAnsi="Helvetica" w:cs="Helvetica"/>
          <w:sz w:val="22"/>
          <w:szCs w:val="22"/>
        </w:rPr>
        <w:t>“</w:t>
      </w:r>
      <w:r w:rsidRPr="00FA3FE3">
        <w:rPr>
          <w:rFonts w:ascii="Helvetica" w:eastAsia="Helvetica" w:hAnsi="Helvetica" w:cs="Helvetica"/>
          <w:sz w:val="22"/>
          <w:szCs w:val="22"/>
        </w:rPr>
        <w:t xml:space="preserve"> </w:t>
      </w:r>
      <w:r w:rsidR="00650AF6">
        <w:rPr>
          <w:rFonts w:ascii="Helvetica" w:eastAsia="Helvetica" w:hAnsi="Helvetica" w:cs="Helvetica"/>
          <w:sz w:val="22"/>
          <w:szCs w:val="22"/>
        </w:rPr>
        <w:t>suteikia galimybę</w:t>
      </w:r>
      <w:r w:rsidRPr="00FA3FE3">
        <w:rPr>
          <w:rFonts w:ascii="Helvetica" w:eastAsia="Helvetica" w:hAnsi="Helvetica" w:cs="Helvetica"/>
          <w:sz w:val="22"/>
          <w:szCs w:val="22"/>
        </w:rPr>
        <w:t xml:space="preserve"> dalintis savo buvimo vieta realiuoju laiku, o šeima ir draugai automatiškai informuojami apie naujos sesijos pradžią. Be to, laikrodis suteikia prieigą prie naujausių orų prognozių, kad</w:t>
      </w:r>
      <w:r>
        <w:rPr>
          <w:rFonts w:ascii="Helvetica" w:eastAsia="Helvetica" w:hAnsi="Helvetica" w:cs="Helvetica"/>
          <w:sz w:val="22"/>
          <w:szCs w:val="22"/>
        </w:rPr>
        <w:t xml:space="preserve"> naudotojai visada </w:t>
      </w:r>
      <w:r w:rsidR="00184CE4">
        <w:rPr>
          <w:rFonts w:ascii="Helvetica" w:eastAsia="Helvetica" w:hAnsi="Helvetica" w:cs="Helvetica"/>
          <w:sz w:val="22"/>
          <w:szCs w:val="22"/>
        </w:rPr>
        <w:t xml:space="preserve">būtų </w:t>
      </w:r>
      <w:r>
        <w:rPr>
          <w:rFonts w:ascii="Helvetica" w:eastAsia="Helvetica" w:hAnsi="Helvetica" w:cs="Helvetica"/>
          <w:sz w:val="22"/>
          <w:szCs w:val="22"/>
        </w:rPr>
        <w:t>pasir</w:t>
      </w:r>
      <w:r w:rsidR="00184CE4">
        <w:rPr>
          <w:rFonts w:ascii="Helvetica" w:eastAsia="Helvetica" w:hAnsi="Helvetica" w:cs="Helvetica"/>
          <w:sz w:val="22"/>
          <w:szCs w:val="22"/>
        </w:rPr>
        <w:t>engę</w:t>
      </w:r>
      <w:r>
        <w:rPr>
          <w:rFonts w:ascii="Helvetica" w:eastAsia="Helvetica" w:hAnsi="Helvetica" w:cs="Helvetica"/>
          <w:sz w:val="22"/>
          <w:szCs w:val="22"/>
        </w:rPr>
        <w:t xml:space="preserve"> </w:t>
      </w:r>
      <w:r w:rsidR="00184CE4">
        <w:rPr>
          <w:rFonts w:ascii="Helvetica" w:eastAsia="Helvetica" w:hAnsi="Helvetica" w:cs="Helvetica"/>
          <w:sz w:val="22"/>
          <w:szCs w:val="22"/>
        </w:rPr>
        <w:t xml:space="preserve"> skirtingoms oro</w:t>
      </w:r>
      <w:r>
        <w:rPr>
          <w:rFonts w:ascii="Helvetica" w:eastAsia="Helvetica" w:hAnsi="Helvetica" w:cs="Helvetica"/>
          <w:sz w:val="22"/>
          <w:szCs w:val="22"/>
        </w:rPr>
        <w:t xml:space="preserve"> sąlygoms. </w:t>
      </w:r>
      <w:r w:rsidRPr="00FA3FE3">
        <w:rPr>
          <w:rFonts w:ascii="Helvetica" w:eastAsia="Helvetica" w:hAnsi="Helvetica" w:cs="Helvetica"/>
          <w:sz w:val="22"/>
          <w:szCs w:val="22"/>
        </w:rPr>
        <w:t xml:space="preserve"> </w:t>
      </w:r>
    </w:p>
    <w:p w14:paraId="02347420" w14:textId="3157A9D8" w:rsidR="00CB3944" w:rsidRDefault="00CB3944" w:rsidP="00E85CE8">
      <w:pPr>
        <w:pStyle w:val="Default"/>
        <w:jc w:val="both"/>
        <w:rPr>
          <w:rFonts w:ascii="Helvetica" w:hAnsi="Helvetica"/>
          <w:b/>
          <w:bCs/>
          <w:sz w:val="22"/>
          <w:szCs w:val="22"/>
          <w:shd w:val="clear" w:color="auto" w:fill="FFFFFF"/>
        </w:rPr>
      </w:pPr>
      <w:r>
        <w:rPr>
          <w:rFonts w:ascii="Helvetica" w:hAnsi="Helvetica"/>
          <w:b/>
          <w:bCs/>
          <w:sz w:val="22"/>
          <w:szCs w:val="22"/>
          <w:shd w:val="clear" w:color="auto" w:fill="FFFFFF"/>
        </w:rPr>
        <w:t>Pagalba vos vienu paspaudimu</w:t>
      </w:r>
    </w:p>
    <w:p w14:paraId="18018F85" w14:textId="68DEE02E" w:rsidR="00F04D31" w:rsidRDefault="00E75D91" w:rsidP="00F04D31">
      <w:pPr>
        <w:pStyle w:val="Default"/>
        <w:jc w:val="both"/>
        <w:rPr>
          <w:rFonts w:ascii="Helvetica" w:hAnsi="Helvetica"/>
          <w:sz w:val="22"/>
          <w:szCs w:val="22"/>
          <w:shd w:val="clear" w:color="auto" w:fill="FFFFFF"/>
        </w:rPr>
      </w:pPr>
      <w:r>
        <w:rPr>
          <w:rFonts w:ascii="Helvetica" w:hAnsi="Helvetica"/>
          <w:sz w:val="22"/>
          <w:szCs w:val="22"/>
          <w:shd w:val="clear" w:color="auto" w:fill="FFFFFF"/>
        </w:rPr>
        <w:t>„</w:t>
      </w:r>
      <w:proofErr w:type="spellStart"/>
      <w:r>
        <w:rPr>
          <w:rFonts w:ascii="Helvetica" w:hAnsi="Helvetica"/>
          <w:sz w:val="22"/>
          <w:szCs w:val="22"/>
          <w:shd w:val="clear" w:color="auto" w:fill="FFFFFF"/>
        </w:rPr>
        <w:t>F</w:t>
      </w:r>
      <w:r w:rsidR="00CB3944" w:rsidRPr="00CB3944">
        <w:rPr>
          <w:rFonts w:ascii="Helvetica" w:hAnsi="Helvetica"/>
          <w:sz w:val="22"/>
          <w:szCs w:val="22"/>
          <w:shd w:val="clear" w:color="auto" w:fill="FFFFFF"/>
        </w:rPr>
        <w:t>ēnix</w:t>
      </w:r>
      <w:proofErr w:type="spellEnd"/>
      <w:r w:rsidR="00CB3944">
        <w:rPr>
          <w:rFonts w:ascii="Helvetica" w:hAnsi="Helvetica"/>
          <w:sz w:val="22"/>
          <w:szCs w:val="22"/>
          <w:shd w:val="clear" w:color="auto" w:fill="FFFFFF"/>
        </w:rPr>
        <w:t xml:space="preserve"> </w:t>
      </w:r>
      <w:r w:rsidR="00CB3944">
        <w:rPr>
          <w:rFonts w:ascii="Helvetica" w:hAnsi="Helvetica"/>
          <w:sz w:val="22"/>
          <w:szCs w:val="22"/>
          <w:shd w:val="clear" w:color="auto" w:fill="FFFFFF"/>
          <w:lang w:val="en-GB"/>
        </w:rPr>
        <w:t xml:space="preserve">8 </w:t>
      </w:r>
      <w:r w:rsidR="00CB3944" w:rsidRPr="00CB3944">
        <w:rPr>
          <w:rFonts w:ascii="Helvetica" w:hAnsi="Helvetica"/>
          <w:sz w:val="22"/>
          <w:szCs w:val="22"/>
          <w:shd w:val="clear" w:color="auto" w:fill="FFFFFF"/>
        </w:rPr>
        <w:t>Pro</w:t>
      </w:r>
      <w:r>
        <w:rPr>
          <w:rFonts w:ascii="Helvetica" w:hAnsi="Helvetica"/>
          <w:sz w:val="22"/>
          <w:szCs w:val="22"/>
          <w:shd w:val="clear" w:color="auto" w:fill="FFFFFF"/>
        </w:rPr>
        <w:t>“</w:t>
      </w:r>
      <w:r w:rsidR="00CB3944">
        <w:rPr>
          <w:rFonts w:ascii="Helvetica" w:hAnsi="Helvetica"/>
          <w:sz w:val="22"/>
          <w:szCs w:val="22"/>
          <w:shd w:val="clear" w:color="auto" w:fill="FFFFFF"/>
        </w:rPr>
        <w:t xml:space="preserve"> taip pat padeda užtikrinti naudotojo saugumą – šios serijos laikrodžiuose integruota SOS funkcija, veikianti tiek per palydovinį, tiek per mobilųjį ryšį</w:t>
      </w:r>
      <w:r w:rsidR="003F09E5">
        <w:rPr>
          <w:rFonts w:ascii="Helvetica" w:hAnsi="Helvetica"/>
          <w:sz w:val="22"/>
          <w:szCs w:val="22"/>
          <w:shd w:val="clear" w:color="auto" w:fill="FFFFFF"/>
        </w:rPr>
        <w:t xml:space="preserve">. Aktyvavus SOS funkciją, </w:t>
      </w:r>
      <w:r>
        <w:rPr>
          <w:rFonts w:ascii="Helvetica" w:hAnsi="Helvetica"/>
          <w:sz w:val="22"/>
          <w:szCs w:val="22"/>
          <w:shd w:val="clear" w:color="auto" w:fill="FFFFFF"/>
        </w:rPr>
        <w:t>„</w:t>
      </w:r>
      <w:proofErr w:type="spellStart"/>
      <w:r w:rsidR="003F09E5">
        <w:rPr>
          <w:rFonts w:ascii="Helvetica" w:hAnsi="Helvetica"/>
          <w:sz w:val="22"/>
          <w:szCs w:val="22"/>
          <w:shd w:val="clear" w:color="auto" w:fill="FFFFFF"/>
        </w:rPr>
        <w:t>Garmin</w:t>
      </w:r>
      <w:proofErr w:type="spellEnd"/>
      <w:r w:rsidR="003F09E5">
        <w:rPr>
          <w:rFonts w:ascii="Helvetica" w:hAnsi="Helvetica"/>
          <w:sz w:val="22"/>
          <w:szCs w:val="22"/>
          <w:shd w:val="clear" w:color="auto" w:fill="FFFFFF"/>
        </w:rPr>
        <w:t xml:space="preserve"> </w:t>
      </w:r>
      <w:proofErr w:type="spellStart"/>
      <w:r w:rsidR="003F09E5">
        <w:rPr>
          <w:rFonts w:ascii="Helvetica" w:hAnsi="Helvetica"/>
          <w:sz w:val="22"/>
          <w:szCs w:val="22"/>
          <w:shd w:val="clear" w:color="auto" w:fill="FFFFFF"/>
        </w:rPr>
        <w:t>Response</w:t>
      </w:r>
      <w:proofErr w:type="spellEnd"/>
      <w:r>
        <w:rPr>
          <w:rFonts w:ascii="Helvetica" w:hAnsi="Helvetica"/>
          <w:sz w:val="22"/>
          <w:szCs w:val="22"/>
          <w:shd w:val="clear" w:color="auto" w:fill="FFFFFF"/>
        </w:rPr>
        <w:t>“</w:t>
      </w:r>
      <w:r w:rsidR="003F09E5">
        <w:rPr>
          <w:rFonts w:ascii="Helvetica" w:hAnsi="Helvetica"/>
          <w:sz w:val="22"/>
          <w:szCs w:val="22"/>
          <w:shd w:val="clear" w:color="auto" w:fill="FFFFFF"/>
        </w:rPr>
        <w:t xml:space="preserve"> komanda iškart susisiekia su laikrodžio savininko nurodytais skubios pagalbos kontaktais bei vietinėmis gelbėjimo tarnybomis. </w:t>
      </w:r>
    </w:p>
    <w:p w14:paraId="714A1CA1" w14:textId="00928E9C" w:rsidR="003F09E5" w:rsidRPr="003F09E5" w:rsidRDefault="003F09E5" w:rsidP="00F04D31">
      <w:pPr>
        <w:pStyle w:val="Default"/>
        <w:jc w:val="both"/>
        <w:rPr>
          <w:rFonts w:ascii="Helvetica" w:hAnsi="Helvetica"/>
          <w:sz w:val="22"/>
          <w:szCs w:val="22"/>
          <w:shd w:val="clear" w:color="auto" w:fill="FFFFFF"/>
        </w:rPr>
      </w:pPr>
      <w:r>
        <w:rPr>
          <w:rFonts w:ascii="Helvetica" w:hAnsi="Helvetica"/>
          <w:sz w:val="22"/>
          <w:szCs w:val="22"/>
          <w:shd w:val="clear" w:color="auto" w:fill="FFFFFF"/>
        </w:rPr>
        <w:lastRenderedPageBreak/>
        <w:t xml:space="preserve">Per beveik du dešimtmečius sukaupta patirtis leidžia </w:t>
      </w:r>
      <w:r w:rsidR="00E75D91">
        <w:rPr>
          <w:rFonts w:ascii="Helvetica" w:hAnsi="Helvetica"/>
          <w:sz w:val="22"/>
          <w:szCs w:val="22"/>
          <w:shd w:val="clear" w:color="auto" w:fill="FFFFFF"/>
        </w:rPr>
        <w:t>„</w:t>
      </w:r>
      <w:proofErr w:type="spellStart"/>
      <w:r>
        <w:rPr>
          <w:rFonts w:ascii="Helvetica" w:hAnsi="Helvetica"/>
          <w:sz w:val="22"/>
          <w:szCs w:val="22"/>
          <w:shd w:val="clear" w:color="auto" w:fill="FFFFFF"/>
        </w:rPr>
        <w:t>Garmin</w:t>
      </w:r>
      <w:proofErr w:type="spellEnd"/>
      <w:r>
        <w:rPr>
          <w:rFonts w:ascii="Helvetica" w:hAnsi="Helvetica"/>
          <w:sz w:val="22"/>
          <w:szCs w:val="22"/>
          <w:shd w:val="clear" w:color="auto" w:fill="FFFFFF"/>
        </w:rPr>
        <w:t xml:space="preserve"> </w:t>
      </w:r>
      <w:proofErr w:type="spellStart"/>
      <w:r>
        <w:rPr>
          <w:rFonts w:ascii="Helvetica" w:hAnsi="Helvetica"/>
          <w:sz w:val="22"/>
          <w:szCs w:val="22"/>
          <w:shd w:val="clear" w:color="auto" w:fill="FFFFFF"/>
        </w:rPr>
        <w:t>Response</w:t>
      </w:r>
      <w:proofErr w:type="spellEnd"/>
      <w:r w:rsidR="00E75D91">
        <w:rPr>
          <w:rFonts w:ascii="Helvetica" w:hAnsi="Helvetica"/>
          <w:sz w:val="22"/>
          <w:szCs w:val="22"/>
          <w:shd w:val="clear" w:color="auto" w:fill="FFFFFF"/>
        </w:rPr>
        <w:t>“</w:t>
      </w:r>
      <w:r>
        <w:rPr>
          <w:rFonts w:ascii="Helvetica" w:hAnsi="Helvetica"/>
          <w:sz w:val="22"/>
          <w:szCs w:val="22"/>
          <w:shd w:val="clear" w:color="auto" w:fill="FFFFFF"/>
        </w:rPr>
        <w:t xml:space="preserve"> komandai užtikrinti aukščiausio lygio pagalbą ekstremaliose situacijose. Per šį laikotarpį specialistai jau yra sureagavę į daugiau nei </w:t>
      </w:r>
      <w:r>
        <w:rPr>
          <w:rFonts w:ascii="Helvetica" w:hAnsi="Helvetica"/>
          <w:sz w:val="22"/>
          <w:szCs w:val="22"/>
          <w:shd w:val="clear" w:color="auto" w:fill="FFFFFF"/>
          <w:lang w:val="en-GB"/>
        </w:rPr>
        <w:t xml:space="preserve">17 </w:t>
      </w:r>
      <w:r>
        <w:rPr>
          <w:rFonts w:ascii="Helvetica" w:hAnsi="Helvetica"/>
          <w:sz w:val="22"/>
          <w:szCs w:val="22"/>
          <w:shd w:val="clear" w:color="auto" w:fill="FFFFFF"/>
        </w:rPr>
        <w:t xml:space="preserve">tūkst. </w:t>
      </w:r>
      <w:r w:rsidR="00E75D91">
        <w:rPr>
          <w:rFonts w:ascii="Helvetica" w:hAnsi="Helvetica"/>
          <w:sz w:val="22"/>
          <w:szCs w:val="22"/>
          <w:shd w:val="clear" w:color="auto" w:fill="FFFFFF"/>
        </w:rPr>
        <w:t>„</w:t>
      </w:r>
      <w:proofErr w:type="spellStart"/>
      <w:r>
        <w:rPr>
          <w:rFonts w:ascii="Helvetica" w:hAnsi="Helvetica"/>
          <w:sz w:val="22"/>
          <w:szCs w:val="22"/>
          <w:shd w:val="clear" w:color="auto" w:fill="FFFFFF"/>
        </w:rPr>
        <w:t>inReach</w:t>
      </w:r>
      <w:proofErr w:type="spellEnd"/>
      <w:r w:rsidR="00E75D91">
        <w:rPr>
          <w:rFonts w:ascii="Helvetica" w:hAnsi="Helvetica"/>
          <w:sz w:val="22"/>
          <w:szCs w:val="22"/>
          <w:shd w:val="clear" w:color="auto" w:fill="FFFFFF"/>
        </w:rPr>
        <w:t>“</w:t>
      </w:r>
      <w:r>
        <w:rPr>
          <w:rFonts w:ascii="Helvetica" w:hAnsi="Helvetica"/>
          <w:sz w:val="22"/>
          <w:szCs w:val="22"/>
          <w:shd w:val="clear" w:color="auto" w:fill="FFFFFF"/>
        </w:rPr>
        <w:t xml:space="preserve"> incidentų daugiau nei </w:t>
      </w:r>
      <w:r>
        <w:rPr>
          <w:rFonts w:ascii="Helvetica" w:hAnsi="Helvetica"/>
          <w:sz w:val="22"/>
          <w:szCs w:val="22"/>
          <w:shd w:val="clear" w:color="auto" w:fill="FFFFFF"/>
          <w:lang w:val="en-GB"/>
        </w:rPr>
        <w:t xml:space="preserve">150 </w:t>
      </w:r>
      <w:r w:rsidRPr="003F09E5">
        <w:rPr>
          <w:rFonts w:ascii="Helvetica" w:hAnsi="Helvetica"/>
          <w:sz w:val="22"/>
          <w:szCs w:val="22"/>
          <w:shd w:val="clear" w:color="auto" w:fill="FFFFFF"/>
        </w:rPr>
        <w:t>pasaulio šalių. Tokia</w:t>
      </w:r>
      <w:r w:rsidR="00312DFA">
        <w:rPr>
          <w:rFonts w:ascii="Helvetica" w:hAnsi="Helvetica"/>
          <w:sz w:val="22"/>
          <w:szCs w:val="22"/>
          <w:shd w:val="clear" w:color="auto" w:fill="FFFFFF"/>
        </w:rPr>
        <w:t xml:space="preserve"> globali</w:t>
      </w:r>
      <w:r w:rsidRPr="003F09E5">
        <w:rPr>
          <w:rFonts w:ascii="Helvetica" w:hAnsi="Helvetica"/>
          <w:sz w:val="22"/>
          <w:szCs w:val="22"/>
          <w:shd w:val="clear" w:color="auto" w:fill="FFFFFF"/>
        </w:rPr>
        <w:t xml:space="preserve"> patirtis leidžia komandai veikti greitai, profesionaliai ir patikimai, nepriklausomai nuo to, kur būtų reikalinga pagalba – kalnuose, dyk</w:t>
      </w:r>
      <w:r w:rsidR="00E75D91">
        <w:rPr>
          <w:rFonts w:ascii="Helvetica" w:hAnsi="Helvetica"/>
          <w:sz w:val="22"/>
          <w:szCs w:val="22"/>
          <w:shd w:val="clear" w:color="auto" w:fill="FFFFFF"/>
        </w:rPr>
        <w:t>u</w:t>
      </w:r>
      <w:r w:rsidRPr="003F09E5">
        <w:rPr>
          <w:rFonts w:ascii="Helvetica" w:hAnsi="Helvetica"/>
          <w:sz w:val="22"/>
          <w:szCs w:val="22"/>
          <w:shd w:val="clear" w:color="auto" w:fill="FFFFFF"/>
        </w:rPr>
        <w:t>mose ar atvirame vandenyne.</w:t>
      </w:r>
      <w:r>
        <w:rPr>
          <w:rFonts w:ascii="Helvetica" w:hAnsi="Helvetica"/>
          <w:sz w:val="22"/>
          <w:szCs w:val="22"/>
          <w:shd w:val="clear" w:color="auto" w:fill="FFFFFF"/>
          <w:lang w:val="en-GB"/>
        </w:rPr>
        <w:t xml:space="preserve"> </w:t>
      </w:r>
    </w:p>
    <w:p w14:paraId="0EEB9326" w14:textId="7F37C63D" w:rsidR="00F04D31" w:rsidRPr="003E7AE0" w:rsidRDefault="000E059C" w:rsidP="00F04D31">
      <w:pPr>
        <w:pStyle w:val="Default"/>
        <w:jc w:val="both"/>
        <w:rPr>
          <w:rFonts w:ascii="Helvetica" w:hAnsi="Helvetica"/>
          <w:b/>
          <w:bCs/>
          <w:sz w:val="22"/>
          <w:szCs w:val="22"/>
          <w:shd w:val="clear" w:color="auto" w:fill="FFFFFF"/>
        </w:rPr>
      </w:pPr>
      <w:r>
        <w:rPr>
          <w:rFonts w:ascii="Helvetica" w:hAnsi="Helvetica"/>
          <w:b/>
          <w:bCs/>
          <w:sz w:val="22"/>
          <w:szCs w:val="22"/>
          <w:shd w:val="clear" w:color="auto" w:fill="FFFFFF"/>
        </w:rPr>
        <w:t>Stilingas, patvarus ir funkcionalus</w:t>
      </w:r>
    </w:p>
    <w:p w14:paraId="4E24C1BD" w14:textId="7C367265" w:rsidR="00286CBA" w:rsidRDefault="00E75D91" w:rsidP="00F04D31">
      <w:pPr>
        <w:pStyle w:val="Default"/>
        <w:jc w:val="both"/>
        <w:rPr>
          <w:rFonts w:ascii="Helvetica" w:hAnsi="Helvetica"/>
          <w:sz w:val="22"/>
          <w:szCs w:val="22"/>
          <w:shd w:val="clear" w:color="auto" w:fill="FFFFFF"/>
        </w:rPr>
      </w:pPr>
      <w:r>
        <w:rPr>
          <w:rFonts w:ascii="Helvetica" w:hAnsi="Helvetica"/>
          <w:sz w:val="22"/>
          <w:szCs w:val="22"/>
          <w:shd w:val="clear" w:color="auto" w:fill="FFFFFF"/>
        </w:rPr>
        <w:t>„</w:t>
      </w:r>
      <w:proofErr w:type="spellStart"/>
      <w:r w:rsidR="00286CBA" w:rsidRPr="00286CBA">
        <w:rPr>
          <w:rFonts w:ascii="Helvetica" w:hAnsi="Helvetica"/>
          <w:sz w:val="22"/>
          <w:szCs w:val="22"/>
          <w:shd w:val="clear" w:color="auto" w:fill="FFFFFF"/>
        </w:rPr>
        <w:t>Fēnix</w:t>
      </w:r>
      <w:proofErr w:type="spellEnd"/>
      <w:r w:rsidR="00286CBA" w:rsidRPr="00286CBA">
        <w:rPr>
          <w:rFonts w:ascii="Helvetica" w:hAnsi="Helvetica"/>
          <w:sz w:val="22"/>
          <w:szCs w:val="22"/>
          <w:shd w:val="clear" w:color="auto" w:fill="FFFFFF"/>
        </w:rPr>
        <w:t xml:space="preserve"> 8 Pro</w:t>
      </w:r>
      <w:r>
        <w:rPr>
          <w:rFonts w:ascii="Helvetica" w:hAnsi="Helvetica"/>
          <w:sz w:val="22"/>
          <w:szCs w:val="22"/>
          <w:shd w:val="clear" w:color="auto" w:fill="FFFFFF"/>
        </w:rPr>
        <w:t>“</w:t>
      </w:r>
      <w:r w:rsidR="00286CBA">
        <w:rPr>
          <w:rFonts w:ascii="Helvetica" w:hAnsi="Helvetica"/>
          <w:sz w:val="22"/>
          <w:szCs w:val="22"/>
          <w:shd w:val="clear" w:color="auto" w:fill="FFFFFF"/>
        </w:rPr>
        <w:t xml:space="preserve"> serija išsiskiria stilingu dizainu bei patvarumu. Visi modeliai yra pažymėti atsparumo nardymui sertifikatu, todėl puikiai tinka tiek ekstremalioms kelionėms, tiek sportui po vandeniu. Laikrodžiuose integruoti hermetiški metaliniai mygtukai ir jutikli</w:t>
      </w:r>
      <w:r w:rsidR="00F20D15">
        <w:rPr>
          <w:rFonts w:ascii="Helvetica" w:hAnsi="Helvetica"/>
          <w:sz w:val="22"/>
          <w:szCs w:val="22"/>
          <w:shd w:val="clear" w:color="auto" w:fill="FFFFFF"/>
        </w:rPr>
        <w:t>ų</w:t>
      </w:r>
      <w:r w:rsidR="00286CBA">
        <w:rPr>
          <w:rFonts w:ascii="Helvetica" w:hAnsi="Helvetica"/>
          <w:sz w:val="22"/>
          <w:szCs w:val="22"/>
          <w:shd w:val="clear" w:color="auto" w:fill="FFFFFF"/>
        </w:rPr>
        <w:t xml:space="preserve"> apsauga, kuri užtikrina ilgalaikį patvarumą, o LED žibintuvėlis padeda užtikrinti gerą matomumą tamsoje.</w:t>
      </w:r>
    </w:p>
    <w:p w14:paraId="69B67B29" w14:textId="7C8D3267" w:rsidR="00286CBA" w:rsidRDefault="00286CBA" w:rsidP="00F04D31">
      <w:pPr>
        <w:pStyle w:val="Default"/>
        <w:jc w:val="both"/>
        <w:rPr>
          <w:rFonts w:ascii="Helvetica" w:hAnsi="Helvetica"/>
          <w:sz w:val="22"/>
          <w:szCs w:val="22"/>
          <w:shd w:val="clear" w:color="auto" w:fill="FFFFFF"/>
        </w:rPr>
      </w:pPr>
      <w:r>
        <w:rPr>
          <w:rFonts w:ascii="Helvetica" w:hAnsi="Helvetica"/>
          <w:sz w:val="22"/>
          <w:szCs w:val="22"/>
          <w:shd w:val="clear" w:color="auto" w:fill="FFFFFF"/>
        </w:rPr>
        <w:t>Kuriant naująją išmaniųjų laikrodžių seriją, išskirtinis dėmesys buvo skiriamas ne tik patvarumui, bet ir funkcionalumui. Naujieji įrenginiai siūlo</w:t>
      </w:r>
      <w:r w:rsidR="00010206">
        <w:rPr>
          <w:rFonts w:ascii="Helvetica" w:hAnsi="Helvetica"/>
          <w:sz w:val="22"/>
          <w:szCs w:val="22"/>
          <w:shd w:val="clear" w:color="auto" w:fill="FFFFFF"/>
        </w:rPr>
        <w:t xml:space="preserve"> </w:t>
      </w:r>
      <w:r>
        <w:rPr>
          <w:rFonts w:ascii="Helvetica" w:hAnsi="Helvetica"/>
          <w:sz w:val="22"/>
          <w:szCs w:val="22"/>
          <w:shd w:val="clear" w:color="auto" w:fill="FFFFFF"/>
        </w:rPr>
        <w:t>„</w:t>
      </w:r>
      <w:proofErr w:type="spellStart"/>
      <w:r>
        <w:rPr>
          <w:rFonts w:ascii="Helvetica" w:hAnsi="Helvetica"/>
          <w:sz w:val="22"/>
          <w:szCs w:val="22"/>
          <w:shd w:val="clear" w:color="auto" w:fill="FFFFFF"/>
        </w:rPr>
        <w:t>Garmin</w:t>
      </w:r>
      <w:proofErr w:type="spellEnd"/>
      <w:r>
        <w:rPr>
          <w:rFonts w:ascii="Helvetica" w:hAnsi="Helvetica"/>
          <w:sz w:val="22"/>
          <w:szCs w:val="22"/>
          <w:shd w:val="clear" w:color="auto" w:fill="FFFFFF"/>
        </w:rPr>
        <w:t>“ pažangi</w:t>
      </w:r>
      <w:r w:rsidR="00010206">
        <w:rPr>
          <w:rFonts w:ascii="Helvetica" w:hAnsi="Helvetica"/>
          <w:sz w:val="22"/>
          <w:szCs w:val="22"/>
          <w:shd w:val="clear" w:color="auto" w:fill="FFFFFF"/>
        </w:rPr>
        <w:t>as</w:t>
      </w:r>
      <w:r>
        <w:rPr>
          <w:rFonts w:ascii="Helvetica" w:hAnsi="Helvetica"/>
          <w:sz w:val="22"/>
          <w:szCs w:val="22"/>
          <w:shd w:val="clear" w:color="auto" w:fill="FFFFFF"/>
        </w:rPr>
        <w:t xml:space="preserve"> funkcij</w:t>
      </w:r>
      <w:r w:rsidR="00010206">
        <w:rPr>
          <w:rFonts w:ascii="Helvetica" w:hAnsi="Helvetica"/>
          <w:sz w:val="22"/>
          <w:szCs w:val="22"/>
          <w:shd w:val="clear" w:color="auto" w:fill="FFFFFF"/>
        </w:rPr>
        <w:t>as</w:t>
      </w:r>
      <w:r>
        <w:rPr>
          <w:rFonts w:ascii="Helvetica" w:hAnsi="Helvetica"/>
          <w:sz w:val="22"/>
          <w:szCs w:val="22"/>
          <w:shd w:val="clear" w:color="auto" w:fill="FFFFFF"/>
        </w:rPr>
        <w:t>, skirt</w:t>
      </w:r>
      <w:r w:rsidR="00010206">
        <w:rPr>
          <w:rFonts w:ascii="Helvetica" w:hAnsi="Helvetica"/>
          <w:sz w:val="22"/>
          <w:szCs w:val="22"/>
          <w:shd w:val="clear" w:color="auto" w:fill="FFFFFF"/>
        </w:rPr>
        <w:t>as</w:t>
      </w:r>
      <w:r>
        <w:rPr>
          <w:rFonts w:ascii="Helvetica" w:hAnsi="Helvetica"/>
          <w:sz w:val="22"/>
          <w:szCs w:val="22"/>
          <w:shd w:val="clear" w:color="auto" w:fill="FFFFFF"/>
        </w:rPr>
        <w:t xml:space="preserve"> tiek profesionaliems sportininkams, tiek aktyvaus gyvenimo būdo mėgėjams. „</w:t>
      </w:r>
      <w:proofErr w:type="spellStart"/>
      <w:r>
        <w:rPr>
          <w:rFonts w:ascii="Helvetica" w:hAnsi="Helvetica"/>
          <w:sz w:val="22"/>
          <w:szCs w:val="22"/>
          <w:shd w:val="clear" w:color="auto" w:fill="FFFFFF"/>
        </w:rPr>
        <w:t>Endurance</w:t>
      </w:r>
      <w:proofErr w:type="spellEnd"/>
      <w:r>
        <w:rPr>
          <w:rFonts w:ascii="Helvetica" w:hAnsi="Helvetica"/>
          <w:sz w:val="22"/>
          <w:szCs w:val="22"/>
          <w:shd w:val="clear" w:color="auto" w:fill="FFFFFF"/>
        </w:rPr>
        <w:t xml:space="preserve"> </w:t>
      </w:r>
      <w:proofErr w:type="spellStart"/>
      <w:r>
        <w:rPr>
          <w:rFonts w:ascii="Helvetica" w:hAnsi="Helvetica"/>
          <w:sz w:val="22"/>
          <w:szCs w:val="22"/>
          <w:shd w:val="clear" w:color="auto" w:fill="FFFFFF"/>
        </w:rPr>
        <w:t>Score</w:t>
      </w:r>
      <w:proofErr w:type="spellEnd"/>
      <w:r>
        <w:rPr>
          <w:rFonts w:ascii="Helvetica" w:hAnsi="Helvetica"/>
          <w:sz w:val="22"/>
          <w:szCs w:val="22"/>
          <w:shd w:val="clear" w:color="auto" w:fill="FFFFFF"/>
        </w:rPr>
        <w:t>“ leidžia stebėti bendrą ištvermę, o „</w:t>
      </w:r>
      <w:proofErr w:type="spellStart"/>
      <w:r>
        <w:rPr>
          <w:rFonts w:ascii="Helvetica" w:hAnsi="Helvetica"/>
          <w:sz w:val="22"/>
          <w:szCs w:val="22"/>
          <w:shd w:val="clear" w:color="auto" w:fill="FFFFFF"/>
        </w:rPr>
        <w:t>Hill</w:t>
      </w:r>
      <w:proofErr w:type="spellEnd"/>
      <w:r>
        <w:rPr>
          <w:rFonts w:ascii="Helvetica" w:hAnsi="Helvetica"/>
          <w:sz w:val="22"/>
          <w:szCs w:val="22"/>
          <w:shd w:val="clear" w:color="auto" w:fill="FFFFFF"/>
        </w:rPr>
        <w:t xml:space="preserve"> </w:t>
      </w:r>
      <w:proofErr w:type="spellStart"/>
      <w:r>
        <w:rPr>
          <w:rFonts w:ascii="Helvetica" w:hAnsi="Helvetica"/>
          <w:sz w:val="22"/>
          <w:szCs w:val="22"/>
          <w:shd w:val="clear" w:color="auto" w:fill="FFFFFF"/>
        </w:rPr>
        <w:t>Score</w:t>
      </w:r>
      <w:proofErr w:type="spellEnd"/>
      <w:r>
        <w:rPr>
          <w:rFonts w:ascii="Helvetica" w:hAnsi="Helvetica"/>
          <w:sz w:val="22"/>
          <w:szCs w:val="22"/>
          <w:shd w:val="clear" w:color="auto" w:fill="FFFFFF"/>
        </w:rPr>
        <w:t>“ įvertin</w:t>
      </w:r>
      <w:r w:rsidR="00473BC7">
        <w:rPr>
          <w:rFonts w:ascii="Helvetica" w:hAnsi="Helvetica"/>
          <w:sz w:val="22"/>
          <w:szCs w:val="22"/>
          <w:shd w:val="clear" w:color="auto" w:fill="FFFFFF"/>
        </w:rPr>
        <w:t xml:space="preserve">a įkalnių </w:t>
      </w:r>
      <w:proofErr w:type="spellStart"/>
      <w:r w:rsidR="00473BC7">
        <w:rPr>
          <w:rFonts w:ascii="Helvetica" w:hAnsi="Helvetica"/>
          <w:sz w:val="22"/>
          <w:szCs w:val="22"/>
          <w:shd w:val="clear" w:color="auto" w:fill="FFFFFF"/>
        </w:rPr>
        <w:t>įveikiamumą</w:t>
      </w:r>
      <w:proofErr w:type="spellEnd"/>
      <w:r w:rsidR="00473BC7">
        <w:rPr>
          <w:rFonts w:ascii="Helvetica" w:hAnsi="Helvetica"/>
          <w:sz w:val="22"/>
          <w:szCs w:val="22"/>
          <w:shd w:val="clear" w:color="auto" w:fill="FFFFFF"/>
        </w:rPr>
        <w:t>. Kasdienės rekomendacinės treniruotės padeda suplanuoti efektyvias sporto programas, o „</w:t>
      </w:r>
      <w:proofErr w:type="spellStart"/>
      <w:r w:rsidR="00473BC7">
        <w:rPr>
          <w:rFonts w:ascii="Helvetica" w:hAnsi="Helvetica"/>
          <w:sz w:val="22"/>
          <w:szCs w:val="22"/>
          <w:shd w:val="clear" w:color="auto" w:fill="FFFFFF"/>
        </w:rPr>
        <w:t>TopoActive</w:t>
      </w:r>
      <w:proofErr w:type="spellEnd"/>
      <w:r w:rsidR="00473BC7">
        <w:rPr>
          <w:rFonts w:ascii="Helvetica" w:hAnsi="Helvetica"/>
          <w:sz w:val="22"/>
          <w:szCs w:val="22"/>
          <w:shd w:val="clear" w:color="auto" w:fill="FFFFFF"/>
        </w:rPr>
        <w:t xml:space="preserve">“ žemėlapiai ir maršrutai užtikrina, kad nepaklystumėte net ir nepažįstamose vietovėse. </w:t>
      </w:r>
    </w:p>
    <w:p w14:paraId="44D5AAD5" w14:textId="3C3737E4" w:rsidR="00473BC7" w:rsidRDefault="000C5E2B" w:rsidP="00F04D31">
      <w:pPr>
        <w:pStyle w:val="Default"/>
        <w:jc w:val="both"/>
        <w:rPr>
          <w:rFonts w:ascii="Helvetica" w:hAnsi="Helvetica"/>
          <w:sz w:val="22"/>
          <w:szCs w:val="22"/>
          <w:shd w:val="clear" w:color="auto" w:fill="FFFFFF"/>
        </w:rPr>
      </w:pPr>
      <w:r w:rsidRPr="000C5E2B">
        <w:rPr>
          <w:rFonts w:ascii="Helvetica" w:hAnsi="Helvetica"/>
          <w:sz w:val="22"/>
          <w:szCs w:val="22"/>
          <w:shd w:val="clear" w:color="auto" w:fill="FFFFFF"/>
        </w:rPr>
        <w:t>Sukurta</w:t>
      </w:r>
      <w:r>
        <w:rPr>
          <w:rFonts w:ascii="Helvetica" w:hAnsi="Helvetica"/>
          <w:sz w:val="22"/>
          <w:szCs w:val="22"/>
          <w:shd w:val="clear" w:color="auto" w:fill="FFFFFF"/>
        </w:rPr>
        <w:t>s</w:t>
      </w:r>
      <w:r w:rsidRPr="000C5E2B">
        <w:rPr>
          <w:rFonts w:ascii="Helvetica" w:hAnsi="Helvetica"/>
          <w:sz w:val="22"/>
          <w:szCs w:val="22"/>
          <w:shd w:val="clear" w:color="auto" w:fill="FFFFFF"/>
        </w:rPr>
        <w:t xml:space="preserve"> nuotykiams bet kurioje vietoje, </w:t>
      </w:r>
      <w:r w:rsidR="00A676BC">
        <w:rPr>
          <w:rFonts w:ascii="Helvetica" w:hAnsi="Helvetica"/>
          <w:sz w:val="22"/>
          <w:szCs w:val="22"/>
          <w:shd w:val="clear" w:color="auto" w:fill="FFFFFF"/>
        </w:rPr>
        <w:t>„</w:t>
      </w:r>
      <w:proofErr w:type="spellStart"/>
      <w:r w:rsidR="00600A58">
        <w:rPr>
          <w:rFonts w:ascii="Helvetica" w:hAnsi="Helvetica"/>
          <w:sz w:val="22"/>
          <w:szCs w:val="22"/>
          <w:shd w:val="clear" w:color="auto" w:fill="FFFFFF"/>
        </w:rPr>
        <w:t>F</w:t>
      </w:r>
      <w:r w:rsidRPr="000C5E2B">
        <w:rPr>
          <w:rFonts w:ascii="Helvetica" w:hAnsi="Helvetica"/>
          <w:sz w:val="22"/>
          <w:szCs w:val="22"/>
          <w:shd w:val="clear" w:color="auto" w:fill="FFFFFF"/>
        </w:rPr>
        <w:t>ēnix</w:t>
      </w:r>
      <w:proofErr w:type="spellEnd"/>
      <w:r w:rsidRPr="000C5E2B">
        <w:rPr>
          <w:rFonts w:ascii="Helvetica" w:hAnsi="Helvetica"/>
          <w:sz w:val="22"/>
          <w:szCs w:val="22"/>
          <w:shd w:val="clear" w:color="auto" w:fill="FFFFFF"/>
        </w:rPr>
        <w:t xml:space="preserve"> 8 Pro</w:t>
      </w:r>
      <w:r w:rsidR="00A676BC">
        <w:rPr>
          <w:rFonts w:ascii="Helvetica" w:hAnsi="Helvetica"/>
          <w:sz w:val="22"/>
          <w:szCs w:val="22"/>
          <w:shd w:val="clear" w:color="auto" w:fill="FFFFFF"/>
        </w:rPr>
        <w:t>“</w:t>
      </w:r>
      <w:r w:rsidRPr="000C5E2B">
        <w:rPr>
          <w:rFonts w:ascii="Helvetica" w:hAnsi="Helvetica"/>
          <w:sz w:val="22"/>
          <w:szCs w:val="22"/>
          <w:shd w:val="clear" w:color="auto" w:fill="FFFFFF"/>
        </w:rPr>
        <w:t xml:space="preserve"> yra aprūpintas „</w:t>
      </w:r>
      <w:proofErr w:type="spellStart"/>
      <w:r w:rsidRPr="000C5E2B">
        <w:rPr>
          <w:rFonts w:ascii="Helvetica" w:hAnsi="Helvetica"/>
          <w:sz w:val="22"/>
          <w:szCs w:val="22"/>
          <w:shd w:val="clear" w:color="auto" w:fill="FFFFFF"/>
        </w:rPr>
        <w:t>Garmin</w:t>
      </w:r>
      <w:proofErr w:type="spellEnd"/>
      <w:r w:rsidRPr="000C5E2B">
        <w:rPr>
          <w:rFonts w:ascii="Helvetica" w:hAnsi="Helvetica"/>
          <w:sz w:val="22"/>
          <w:szCs w:val="22"/>
          <w:shd w:val="clear" w:color="auto" w:fill="FFFFFF"/>
        </w:rPr>
        <w:t>“ našumo, navigacijos, sveikatos ir gerovės</w:t>
      </w:r>
      <w:r w:rsidR="00117F09">
        <w:rPr>
          <w:rFonts w:ascii="Helvetica" w:hAnsi="Helvetica"/>
          <w:sz w:val="22"/>
          <w:szCs w:val="22"/>
          <w:shd w:val="clear" w:color="auto" w:fill="FFFFFF"/>
        </w:rPr>
        <w:t xml:space="preserve"> technologijomis</w:t>
      </w:r>
      <w:r>
        <w:rPr>
          <w:rStyle w:val="FootnoteReference"/>
          <w:rFonts w:ascii="Helvetica" w:hAnsi="Helvetica"/>
          <w:sz w:val="22"/>
          <w:szCs w:val="22"/>
          <w:shd w:val="clear" w:color="auto" w:fill="FFFFFF"/>
        </w:rPr>
        <w:footnoteReference w:id="2"/>
      </w:r>
      <w:r>
        <w:rPr>
          <w:rFonts w:ascii="Helvetica" w:hAnsi="Helvetica"/>
          <w:sz w:val="22"/>
          <w:szCs w:val="22"/>
          <w:shd w:val="clear" w:color="auto" w:fill="FFFFFF"/>
        </w:rPr>
        <w:t xml:space="preserve">. </w:t>
      </w:r>
      <w:r w:rsidR="00E75D91">
        <w:rPr>
          <w:rFonts w:ascii="Helvetica" w:hAnsi="Helvetica"/>
          <w:sz w:val="22"/>
          <w:szCs w:val="22"/>
          <w:shd w:val="clear" w:color="auto" w:fill="FFFFFF"/>
        </w:rPr>
        <w:t>„</w:t>
      </w:r>
      <w:proofErr w:type="spellStart"/>
      <w:r w:rsidR="00473BC7" w:rsidRPr="00473BC7">
        <w:rPr>
          <w:rFonts w:ascii="Helvetica" w:hAnsi="Helvetica"/>
          <w:sz w:val="22"/>
          <w:szCs w:val="22"/>
          <w:shd w:val="clear" w:color="auto" w:fill="FFFFFF"/>
        </w:rPr>
        <w:t>Fēnix</w:t>
      </w:r>
      <w:proofErr w:type="spellEnd"/>
      <w:r w:rsidR="00473BC7" w:rsidRPr="00473BC7">
        <w:rPr>
          <w:rFonts w:ascii="Helvetica" w:hAnsi="Helvetica"/>
          <w:sz w:val="22"/>
          <w:szCs w:val="22"/>
          <w:shd w:val="clear" w:color="auto" w:fill="FFFFFF"/>
        </w:rPr>
        <w:t xml:space="preserve"> 8 Pro</w:t>
      </w:r>
      <w:r w:rsidR="00E75D91">
        <w:rPr>
          <w:rFonts w:ascii="Helvetica" w:hAnsi="Helvetica"/>
          <w:sz w:val="22"/>
          <w:szCs w:val="22"/>
          <w:shd w:val="clear" w:color="auto" w:fill="FFFFFF"/>
        </w:rPr>
        <w:t>“</w:t>
      </w:r>
      <w:r w:rsidR="00473BC7">
        <w:rPr>
          <w:rFonts w:ascii="Helvetica" w:hAnsi="Helvetica"/>
          <w:sz w:val="22"/>
          <w:szCs w:val="22"/>
          <w:shd w:val="clear" w:color="auto" w:fill="FFFFFF"/>
        </w:rPr>
        <w:t xml:space="preserve"> serijos laikrodžiai siūlo tokias funkcijas kaip „</w:t>
      </w:r>
      <w:proofErr w:type="spellStart"/>
      <w:r w:rsidR="00473BC7">
        <w:rPr>
          <w:rFonts w:ascii="Helvetica" w:hAnsi="Helvetica"/>
          <w:sz w:val="22"/>
          <w:szCs w:val="22"/>
          <w:shd w:val="clear" w:color="auto" w:fill="FFFFFF"/>
        </w:rPr>
        <w:t>Garmin</w:t>
      </w:r>
      <w:proofErr w:type="spellEnd"/>
      <w:r w:rsidR="00473BC7">
        <w:rPr>
          <w:rFonts w:ascii="Helvetica" w:hAnsi="Helvetica"/>
          <w:sz w:val="22"/>
          <w:szCs w:val="22"/>
          <w:shd w:val="clear" w:color="auto" w:fill="FFFFFF"/>
        </w:rPr>
        <w:t xml:space="preserve"> ECG APP</w:t>
      </w:r>
      <w:r>
        <w:rPr>
          <w:rStyle w:val="FootnoteReference"/>
          <w:rFonts w:ascii="Helvetica" w:hAnsi="Helvetica"/>
          <w:sz w:val="22"/>
          <w:szCs w:val="22"/>
          <w:shd w:val="clear" w:color="auto" w:fill="FFFFFF"/>
        </w:rPr>
        <w:footnoteReference w:id="3"/>
      </w:r>
      <w:r w:rsidR="00473BC7">
        <w:rPr>
          <w:rFonts w:ascii="Helvetica" w:hAnsi="Helvetica"/>
          <w:sz w:val="22"/>
          <w:szCs w:val="22"/>
          <w:shd w:val="clear" w:color="auto" w:fill="FFFFFF"/>
        </w:rPr>
        <w:t>“ – širdies elektrokardiogramos analizę, taip pat personalizuotą miego trenerį „</w:t>
      </w:r>
      <w:proofErr w:type="spellStart"/>
      <w:r w:rsidR="00473BC7">
        <w:rPr>
          <w:rFonts w:ascii="Helvetica" w:hAnsi="Helvetica"/>
          <w:sz w:val="22"/>
          <w:szCs w:val="22"/>
          <w:shd w:val="clear" w:color="auto" w:fill="FFFFFF"/>
        </w:rPr>
        <w:t>Sleep</w:t>
      </w:r>
      <w:proofErr w:type="spellEnd"/>
      <w:r w:rsidR="00473BC7">
        <w:rPr>
          <w:rFonts w:ascii="Helvetica" w:hAnsi="Helvetica"/>
          <w:sz w:val="22"/>
          <w:szCs w:val="22"/>
          <w:shd w:val="clear" w:color="auto" w:fill="FFFFFF"/>
        </w:rPr>
        <w:t xml:space="preserve"> </w:t>
      </w:r>
      <w:proofErr w:type="spellStart"/>
      <w:r w:rsidR="00473BC7">
        <w:rPr>
          <w:rFonts w:ascii="Helvetica" w:hAnsi="Helvetica"/>
          <w:sz w:val="22"/>
          <w:szCs w:val="22"/>
          <w:shd w:val="clear" w:color="auto" w:fill="FFFFFF"/>
        </w:rPr>
        <w:t>Coach</w:t>
      </w:r>
      <w:proofErr w:type="spellEnd"/>
      <w:r w:rsidR="00473BC7">
        <w:rPr>
          <w:rFonts w:ascii="Helvetica" w:hAnsi="Helvetica"/>
          <w:sz w:val="22"/>
          <w:szCs w:val="22"/>
          <w:shd w:val="clear" w:color="auto" w:fill="FFFFFF"/>
        </w:rPr>
        <w:t>“ bei integruotą „</w:t>
      </w:r>
      <w:proofErr w:type="spellStart"/>
      <w:r w:rsidR="00473BC7">
        <w:rPr>
          <w:rFonts w:ascii="Helvetica" w:hAnsi="Helvetica"/>
          <w:sz w:val="22"/>
          <w:szCs w:val="22"/>
          <w:shd w:val="clear" w:color="auto" w:fill="FFFFFF"/>
        </w:rPr>
        <w:t>Garmin</w:t>
      </w:r>
      <w:proofErr w:type="spellEnd"/>
      <w:r w:rsidR="00473BC7">
        <w:rPr>
          <w:rFonts w:ascii="Helvetica" w:hAnsi="Helvetica"/>
          <w:sz w:val="22"/>
          <w:szCs w:val="22"/>
          <w:shd w:val="clear" w:color="auto" w:fill="FFFFFF"/>
        </w:rPr>
        <w:t xml:space="preserve"> </w:t>
      </w:r>
      <w:proofErr w:type="spellStart"/>
      <w:r w:rsidR="00473BC7">
        <w:rPr>
          <w:rFonts w:ascii="Helvetica" w:hAnsi="Helvetica"/>
          <w:sz w:val="22"/>
          <w:szCs w:val="22"/>
          <w:shd w:val="clear" w:color="auto" w:fill="FFFFFF"/>
        </w:rPr>
        <w:t>Pay</w:t>
      </w:r>
      <w:proofErr w:type="spellEnd"/>
      <w:r w:rsidR="00473BC7">
        <w:rPr>
          <w:rFonts w:ascii="Helvetica" w:hAnsi="Helvetica"/>
          <w:sz w:val="22"/>
          <w:szCs w:val="22"/>
          <w:shd w:val="clear" w:color="auto" w:fill="FFFFFF"/>
        </w:rPr>
        <w:t xml:space="preserve">“ sistemą, kuri leidžia atlikti bekontakčius mokėjimus. </w:t>
      </w:r>
    </w:p>
    <w:p w14:paraId="64E9472F" w14:textId="34CFCF01" w:rsidR="00E53DEF" w:rsidRPr="00F04D31" w:rsidRDefault="00E75D91" w:rsidP="00F04D31">
      <w:pPr>
        <w:pStyle w:val="Default"/>
        <w:jc w:val="both"/>
        <w:rPr>
          <w:rFonts w:ascii="Helvetica" w:hAnsi="Helvetica"/>
          <w:sz w:val="22"/>
          <w:szCs w:val="22"/>
          <w:shd w:val="clear" w:color="auto" w:fill="FFFFFF"/>
        </w:rPr>
      </w:pPr>
      <w:r>
        <w:rPr>
          <w:rFonts w:ascii="Helvetica" w:hAnsi="Helvetica"/>
          <w:sz w:val="22"/>
          <w:szCs w:val="22"/>
          <w:shd w:val="clear" w:color="auto" w:fill="FFFFFF"/>
        </w:rPr>
        <w:t>„</w:t>
      </w:r>
      <w:proofErr w:type="spellStart"/>
      <w:r w:rsidR="00E53DEF">
        <w:rPr>
          <w:rFonts w:ascii="Helvetica" w:hAnsi="Helvetica"/>
          <w:sz w:val="22"/>
          <w:szCs w:val="22"/>
          <w:shd w:val="clear" w:color="auto" w:fill="FFFFFF"/>
        </w:rPr>
        <w:t>F</w:t>
      </w:r>
      <w:r w:rsidR="00E53DEF" w:rsidRPr="00E53DEF">
        <w:rPr>
          <w:rFonts w:ascii="Helvetica" w:hAnsi="Helvetica"/>
          <w:sz w:val="22"/>
          <w:szCs w:val="22"/>
          <w:shd w:val="clear" w:color="auto" w:fill="FFFFFF"/>
        </w:rPr>
        <w:t>ēnix</w:t>
      </w:r>
      <w:proofErr w:type="spellEnd"/>
      <w:r w:rsidR="00E53DEF" w:rsidRPr="00E53DEF">
        <w:rPr>
          <w:rFonts w:ascii="Helvetica" w:hAnsi="Helvetica"/>
          <w:sz w:val="22"/>
          <w:szCs w:val="22"/>
          <w:shd w:val="clear" w:color="auto" w:fill="FFFFFF"/>
        </w:rPr>
        <w:t xml:space="preserve"> 8 Pro</w:t>
      </w:r>
      <w:r>
        <w:rPr>
          <w:rFonts w:ascii="Helvetica" w:hAnsi="Helvetica"/>
          <w:sz w:val="22"/>
          <w:szCs w:val="22"/>
          <w:shd w:val="clear" w:color="auto" w:fill="FFFFFF"/>
        </w:rPr>
        <w:t>“</w:t>
      </w:r>
      <w:r w:rsidR="00E53DEF" w:rsidRPr="00E53DEF">
        <w:rPr>
          <w:rFonts w:ascii="Helvetica" w:hAnsi="Helvetica"/>
          <w:sz w:val="22"/>
          <w:szCs w:val="22"/>
          <w:shd w:val="clear" w:color="auto" w:fill="FFFFFF"/>
        </w:rPr>
        <w:t xml:space="preserve"> seriją sudaro du išskirtiniai modeliai</w:t>
      </w:r>
      <w:r w:rsidR="00E53DEF">
        <w:rPr>
          <w:rFonts w:ascii="Helvetica" w:hAnsi="Helvetica"/>
          <w:sz w:val="22"/>
          <w:szCs w:val="22"/>
          <w:shd w:val="clear" w:color="auto" w:fill="FFFFFF"/>
        </w:rPr>
        <w:t xml:space="preserve"> – </w:t>
      </w:r>
      <w:r w:rsidR="00A676BC">
        <w:rPr>
          <w:rFonts w:ascii="Helvetica" w:hAnsi="Helvetica"/>
          <w:sz w:val="22"/>
          <w:szCs w:val="22"/>
          <w:shd w:val="clear" w:color="auto" w:fill="FFFFFF"/>
        </w:rPr>
        <w:t>„</w:t>
      </w:r>
      <w:proofErr w:type="spellStart"/>
      <w:r w:rsidR="00600A58">
        <w:rPr>
          <w:rFonts w:ascii="Helvetica" w:hAnsi="Helvetica"/>
          <w:sz w:val="22"/>
          <w:szCs w:val="22"/>
          <w:shd w:val="clear" w:color="auto" w:fill="FFFFFF"/>
        </w:rPr>
        <w:t>F</w:t>
      </w:r>
      <w:r w:rsidR="00E53DEF" w:rsidRPr="00E53DEF">
        <w:rPr>
          <w:rFonts w:ascii="Helvetica" w:hAnsi="Helvetica"/>
          <w:sz w:val="22"/>
          <w:szCs w:val="22"/>
          <w:shd w:val="clear" w:color="auto" w:fill="FFFFFF"/>
        </w:rPr>
        <w:t>ēnix</w:t>
      </w:r>
      <w:proofErr w:type="spellEnd"/>
      <w:r w:rsidR="00E53DEF" w:rsidRPr="00E53DEF">
        <w:rPr>
          <w:rFonts w:ascii="Helvetica" w:hAnsi="Helvetica"/>
          <w:sz w:val="22"/>
          <w:szCs w:val="22"/>
          <w:shd w:val="clear" w:color="auto" w:fill="FFFFFF"/>
        </w:rPr>
        <w:t xml:space="preserve"> 8 Pro</w:t>
      </w:r>
      <w:r>
        <w:rPr>
          <w:rFonts w:ascii="Helvetica" w:hAnsi="Helvetica"/>
          <w:sz w:val="22"/>
          <w:szCs w:val="22"/>
          <w:shd w:val="clear" w:color="auto" w:fill="FFFFFF"/>
        </w:rPr>
        <w:t>“</w:t>
      </w:r>
      <w:r w:rsidR="00E53DEF" w:rsidRPr="00E53DEF">
        <w:rPr>
          <w:rFonts w:ascii="Helvetica" w:hAnsi="Helvetica"/>
          <w:sz w:val="22"/>
          <w:szCs w:val="22"/>
          <w:shd w:val="clear" w:color="auto" w:fill="FFFFFF"/>
        </w:rPr>
        <w:t xml:space="preserve"> AMOLED</w:t>
      </w:r>
      <w:r w:rsidR="00532C7E">
        <w:rPr>
          <w:rFonts w:ascii="Helvetica" w:hAnsi="Helvetica"/>
          <w:sz w:val="22"/>
          <w:szCs w:val="22"/>
          <w:shd w:val="clear" w:color="auto" w:fill="FFFFFF"/>
        </w:rPr>
        <w:t>, kuris prieinamas</w:t>
      </w:r>
      <w:r w:rsidR="00E53DEF" w:rsidRPr="00E53DEF">
        <w:rPr>
          <w:rFonts w:ascii="Helvetica" w:hAnsi="Helvetica"/>
          <w:sz w:val="22"/>
          <w:szCs w:val="22"/>
          <w:shd w:val="clear" w:color="auto" w:fill="FFFFFF"/>
        </w:rPr>
        <w:t xml:space="preserve"> dviejų dydžių – 47 mm ir 51 mm</w:t>
      </w:r>
      <w:r w:rsidR="00532C7E">
        <w:rPr>
          <w:rFonts w:ascii="Helvetica" w:hAnsi="Helvetica"/>
          <w:sz w:val="22"/>
          <w:szCs w:val="22"/>
          <w:shd w:val="clear" w:color="auto" w:fill="FFFFFF"/>
        </w:rPr>
        <w:t>. Šis modelis</w:t>
      </w:r>
      <w:r w:rsidR="00E53DEF" w:rsidRPr="00E53DEF">
        <w:rPr>
          <w:rFonts w:ascii="Helvetica" w:hAnsi="Helvetica"/>
          <w:sz w:val="22"/>
          <w:szCs w:val="22"/>
          <w:shd w:val="clear" w:color="auto" w:fill="FFFFFF"/>
        </w:rPr>
        <w:t xml:space="preserve"> pasižymi įspūdingu baterijos veikimo laiku, kuris išmaniojo laikrodžio režimu</w:t>
      </w:r>
      <w:r w:rsidR="006D7C6E">
        <w:rPr>
          <w:rStyle w:val="FootnoteReference"/>
          <w:rFonts w:ascii="Helvetica" w:hAnsi="Helvetica"/>
          <w:sz w:val="22"/>
          <w:szCs w:val="22"/>
          <w:shd w:val="clear" w:color="auto" w:fill="FFFFFF"/>
        </w:rPr>
        <w:footnoteReference w:id="4"/>
      </w:r>
      <w:r w:rsidR="00E53DEF" w:rsidRPr="00E53DEF">
        <w:rPr>
          <w:rFonts w:ascii="Helvetica" w:hAnsi="Helvetica"/>
          <w:sz w:val="22"/>
          <w:szCs w:val="22"/>
          <w:shd w:val="clear" w:color="auto" w:fill="FFFFFF"/>
        </w:rPr>
        <w:t xml:space="preserve"> siekia iki 27 dienų. Tuo</w:t>
      </w:r>
      <w:r w:rsidR="00E53DEF">
        <w:rPr>
          <w:rFonts w:ascii="Helvetica" w:hAnsi="Helvetica"/>
          <w:sz w:val="22"/>
          <w:szCs w:val="22"/>
          <w:shd w:val="clear" w:color="auto" w:fill="FFFFFF"/>
        </w:rPr>
        <w:t xml:space="preserve"> metu</w:t>
      </w:r>
      <w:r w:rsidR="00E53DEF" w:rsidRPr="00E53DEF">
        <w:rPr>
          <w:rFonts w:ascii="Helvetica" w:hAnsi="Helvetica"/>
          <w:sz w:val="22"/>
          <w:szCs w:val="22"/>
          <w:shd w:val="clear" w:color="auto" w:fill="FFFFFF"/>
        </w:rPr>
        <w:t xml:space="preserve"> pažangiausias </w:t>
      </w:r>
      <w:r>
        <w:rPr>
          <w:rFonts w:ascii="Helvetica" w:hAnsi="Helvetica"/>
          <w:sz w:val="22"/>
          <w:szCs w:val="22"/>
          <w:shd w:val="clear" w:color="auto" w:fill="FFFFFF"/>
        </w:rPr>
        <w:t>„</w:t>
      </w:r>
      <w:proofErr w:type="spellStart"/>
      <w:r w:rsidR="00600A58">
        <w:rPr>
          <w:rFonts w:ascii="Helvetica" w:hAnsi="Helvetica"/>
          <w:sz w:val="22"/>
          <w:szCs w:val="22"/>
          <w:shd w:val="clear" w:color="auto" w:fill="FFFFFF"/>
        </w:rPr>
        <w:t>F</w:t>
      </w:r>
      <w:r w:rsidR="00E53DEF" w:rsidRPr="00E53DEF">
        <w:rPr>
          <w:rFonts w:ascii="Helvetica" w:hAnsi="Helvetica"/>
          <w:sz w:val="22"/>
          <w:szCs w:val="22"/>
          <w:shd w:val="clear" w:color="auto" w:fill="FFFFFF"/>
        </w:rPr>
        <w:t>ēnix</w:t>
      </w:r>
      <w:proofErr w:type="spellEnd"/>
      <w:r w:rsidR="00E53DEF" w:rsidRPr="00E53DEF">
        <w:rPr>
          <w:rFonts w:ascii="Helvetica" w:hAnsi="Helvetica"/>
          <w:sz w:val="22"/>
          <w:szCs w:val="22"/>
          <w:shd w:val="clear" w:color="auto" w:fill="FFFFFF"/>
        </w:rPr>
        <w:t xml:space="preserve"> 8 Pro</w:t>
      </w:r>
      <w:r>
        <w:rPr>
          <w:rFonts w:ascii="Helvetica" w:hAnsi="Helvetica"/>
          <w:sz w:val="22"/>
          <w:szCs w:val="22"/>
          <w:shd w:val="clear" w:color="auto" w:fill="FFFFFF"/>
        </w:rPr>
        <w:t>“</w:t>
      </w:r>
      <w:r w:rsidR="00E53DEF" w:rsidRPr="00E53DEF">
        <w:rPr>
          <w:rFonts w:ascii="Helvetica" w:hAnsi="Helvetica"/>
          <w:sz w:val="22"/>
          <w:szCs w:val="22"/>
          <w:shd w:val="clear" w:color="auto" w:fill="FFFFFF"/>
        </w:rPr>
        <w:t xml:space="preserve"> </w:t>
      </w:r>
      <w:proofErr w:type="spellStart"/>
      <w:r w:rsidR="00E53DEF" w:rsidRPr="00E53DEF">
        <w:rPr>
          <w:rFonts w:ascii="Helvetica" w:hAnsi="Helvetica"/>
          <w:sz w:val="22"/>
          <w:szCs w:val="22"/>
          <w:shd w:val="clear" w:color="auto" w:fill="FFFFFF"/>
        </w:rPr>
        <w:t>MicroLED</w:t>
      </w:r>
      <w:proofErr w:type="spellEnd"/>
      <w:r w:rsidR="00E53DEF" w:rsidRPr="00E53DEF">
        <w:rPr>
          <w:rFonts w:ascii="Helvetica" w:hAnsi="Helvetica"/>
          <w:sz w:val="22"/>
          <w:szCs w:val="22"/>
          <w:shd w:val="clear" w:color="auto" w:fill="FFFFFF"/>
        </w:rPr>
        <w:t xml:space="preserve"> modelis </w:t>
      </w:r>
      <w:r w:rsidR="00532C7E">
        <w:rPr>
          <w:rFonts w:ascii="Helvetica" w:hAnsi="Helvetica"/>
          <w:sz w:val="22"/>
          <w:szCs w:val="22"/>
          <w:shd w:val="clear" w:color="auto" w:fill="FFFFFF"/>
        </w:rPr>
        <w:t xml:space="preserve">prieinamas </w:t>
      </w:r>
      <w:r w:rsidR="00E53DEF" w:rsidRPr="00E53DEF">
        <w:rPr>
          <w:rFonts w:ascii="Helvetica" w:hAnsi="Helvetica"/>
          <w:sz w:val="22"/>
          <w:szCs w:val="22"/>
          <w:shd w:val="clear" w:color="auto" w:fill="FFFFFF"/>
        </w:rPr>
        <w:t xml:space="preserve">51 mm </w:t>
      </w:r>
      <w:r w:rsidR="00532C7E">
        <w:rPr>
          <w:rFonts w:ascii="Helvetica" w:hAnsi="Helvetica"/>
          <w:sz w:val="22"/>
          <w:szCs w:val="22"/>
          <w:shd w:val="clear" w:color="auto" w:fill="FFFFFF"/>
        </w:rPr>
        <w:t xml:space="preserve">skersmens </w:t>
      </w:r>
      <w:r w:rsidR="00E53DEF" w:rsidRPr="00E53DEF">
        <w:rPr>
          <w:rFonts w:ascii="Helvetica" w:hAnsi="Helvetica"/>
          <w:sz w:val="22"/>
          <w:szCs w:val="22"/>
          <w:shd w:val="clear" w:color="auto" w:fill="FFFFFF"/>
        </w:rPr>
        <w:t xml:space="preserve">ekranu, </w:t>
      </w:r>
      <w:r w:rsidR="00E53DEF">
        <w:rPr>
          <w:rFonts w:ascii="Helvetica" w:hAnsi="Helvetica"/>
          <w:sz w:val="22"/>
          <w:szCs w:val="22"/>
          <w:shd w:val="clear" w:color="auto" w:fill="FFFFFF"/>
        </w:rPr>
        <w:t>o be įkrovimo</w:t>
      </w:r>
      <w:r w:rsidR="00E53DEF" w:rsidRPr="00E53DEF">
        <w:rPr>
          <w:rFonts w:ascii="Helvetica" w:hAnsi="Helvetica"/>
          <w:sz w:val="22"/>
          <w:szCs w:val="22"/>
          <w:shd w:val="clear" w:color="auto" w:fill="FFFFFF"/>
        </w:rPr>
        <w:t xml:space="preserve"> veikia iki 10 dienų</w:t>
      </w:r>
      <w:r w:rsidR="002E37DD">
        <w:rPr>
          <w:rFonts w:ascii="Helvetica" w:hAnsi="Helvetica"/>
          <w:sz w:val="22"/>
          <w:szCs w:val="22"/>
          <w:shd w:val="clear" w:color="auto" w:fill="FFFFFF"/>
        </w:rPr>
        <w:t xml:space="preserve"> </w:t>
      </w:r>
      <w:r w:rsidR="002E37DD" w:rsidRPr="002E37DD">
        <w:rPr>
          <w:rFonts w:ascii="Helvetica" w:hAnsi="Helvetica"/>
          <w:sz w:val="22"/>
          <w:szCs w:val="22"/>
          <w:shd w:val="clear" w:color="auto" w:fill="FFFFFF"/>
        </w:rPr>
        <w:t>ir kainuo</w:t>
      </w:r>
      <w:r w:rsidR="002E37DD">
        <w:rPr>
          <w:rFonts w:ascii="Helvetica" w:hAnsi="Helvetica"/>
          <w:sz w:val="22"/>
          <w:szCs w:val="22"/>
          <w:shd w:val="clear" w:color="auto" w:fill="FFFFFF"/>
        </w:rPr>
        <w:t>s</w:t>
      </w:r>
      <w:r w:rsidR="002E37DD" w:rsidRPr="002E37DD">
        <w:rPr>
          <w:rFonts w:ascii="Helvetica" w:hAnsi="Helvetica"/>
          <w:sz w:val="22"/>
          <w:szCs w:val="22"/>
          <w:shd w:val="clear" w:color="auto" w:fill="FFFFFF"/>
        </w:rPr>
        <w:t xml:space="preserve"> 1999,99</w:t>
      </w:r>
      <w:r w:rsidR="002E37DD">
        <w:rPr>
          <w:rFonts w:ascii="Helvetica" w:hAnsi="Helvetica"/>
          <w:sz w:val="22"/>
          <w:szCs w:val="22"/>
          <w:shd w:val="clear" w:color="auto" w:fill="FFFFFF"/>
        </w:rPr>
        <w:t xml:space="preserve"> Eur</w:t>
      </w:r>
      <w:r w:rsidR="00E53DEF" w:rsidRPr="00E53DEF">
        <w:rPr>
          <w:rFonts w:ascii="Helvetica" w:hAnsi="Helvetica"/>
          <w:sz w:val="22"/>
          <w:szCs w:val="22"/>
          <w:shd w:val="clear" w:color="auto" w:fill="FFFFFF"/>
        </w:rPr>
        <w:t>. Abu modeliai prekyboje pasirodys nuo 2025 m. rugsėjo 8 d</w:t>
      </w:r>
      <w:r w:rsidR="000E059C">
        <w:rPr>
          <w:rFonts w:ascii="Helvetica" w:hAnsi="Helvetica"/>
          <w:sz w:val="22"/>
          <w:szCs w:val="22"/>
          <w:shd w:val="clear" w:color="auto" w:fill="FFFFFF"/>
        </w:rPr>
        <w:t>.</w:t>
      </w:r>
      <w:r w:rsidR="00B25C8F">
        <w:rPr>
          <w:rFonts w:ascii="Helvetica" w:hAnsi="Helvetica"/>
          <w:sz w:val="22"/>
          <w:szCs w:val="22"/>
          <w:shd w:val="clear" w:color="auto" w:fill="FFFFFF"/>
        </w:rPr>
        <w:t xml:space="preserve"> </w:t>
      </w:r>
    </w:p>
    <w:p w14:paraId="67E7BA0F" w14:textId="1467293A" w:rsidR="0023516D" w:rsidRPr="00473BC7" w:rsidRDefault="00D314E0" w:rsidP="00D314E0">
      <w:pPr>
        <w:pStyle w:val="NormalWeb"/>
        <w:contextualSpacing/>
        <w:jc w:val="both"/>
        <w:rPr>
          <w:rFonts w:ascii="Helvetica" w:hAnsi="Helvetica" w:cs="Helvetica"/>
          <w:b/>
          <w:bCs/>
          <w:sz w:val="18"/>
          <w:szCs w:val="18"/>
          <w:lang w:val="lt-LT"/>
        </w:rPr>
      </w:pPr>
      <w:r w:rsidRPr="00473BC7">
        <w:rPr>
          <w:rStyle w:val="Strong"/>
          <w:rFonts w:ascii="Helvetica" w:hAnsi="Helvetica" w:cs="Helvetica"/>
          <w:sz w:val="18"/>
          <w:szCs w:val="18"/>
          <w:lang w:val="lt-LT"/>
        </w:rPr>
        <w:t>Apie „</w:t>
      </w:r>
      <w:proofErr w:type="spellStart"/>
      <w:r w:rsidRPr="00473BC7">
        <w:rPr>
          <w:rStyle w:val="Strong"/>
          <w:rFonts w:ascii="Helvetica" w:hAnsi="Helvetica" w:cs="Helvetica"/>
          <w:sz w:val="18"/>
          <w:szCs w:val="18"/>
          <w:lang w:val="lt-LT"/>
        </w:rPr>
        <w:t>Garmin</w:t>
      </w:r>
      <w:proofErr w:type="spellEnd"/>
      <w:r w:rsidRPr="00473BC7">
        <w:rPr>
          <w:rStyle w:val="Strong"/>
          <w:rFonts w:ascii="Helvetica" w:hAnsi="Helvetica" w:cs="Helvetica"/>
          <w:sz w:val="18"/>
          <w:szCs w:val="18"/>
          <w:lang w:val="lt-LT"/>
        </w:rPr>
        <w:t xml:space="preserve"> International, </w:t>
      </w:r>
      <w:proofErr w:type="spellStart"/>
      <w:r w:rsidRPr="00473BC7">
        <w:rPr>
          <w:rStyle w:val="Strong"/>
          <w:rFonts w:ascii="Helvetica" w:hAnsi="Helvetica" w:cs="Helvetica"/>
          <w:sz w:val="18"/>
          <w:szCs w:val="18"/>
          <w:lang w:val="lt-LT"/>
        </w:rPr>
        <w:t>Inc</w:t>
      </w:r>
      <w:proofErr w:type="spellEnd"/>
      <w:r w:rsidRPr="00473BC7">
        <w:rPr>
          <w:rStyle w:val="Strong"/>
          <w:rFonts w:ascii="Helvetica" w:hAnsi="Helvetica" w:cs="Helvetica"/>
          <w:sz w:val="18"/>
          <w:szCs w:val="18"/>
          <w:lang w:val="lt-LT"/>
        </w:rPr>
        <w:t>.“</w:t>
      </w:r>
      <w:r w:rsidRPr="00473BC7">
        <w:rPr>
          <w:rFonts w:ascii="Helvetica" w:hAnsi="Helvetica" w:cs="Helvetica"/>
          <w:sz w:val="18"/>
          <w:szCs w:val="18"/>
          <w:lang w:val="lt-LT"/>
        </w:rPr>
        <w:t>: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xml:space="preserve"> International, </w:t>
      </w:r>
      <w:proofErr w:type="spellStart"/>
      <w:r w:rsidRPr="00473BC7">
        <w:rPr>
          <w:rFonts w:ascii="Helvetica" w:hAnsi="Helvetica" w:cs="Helvetica"/>
          <w:sz w:val="18"/>
          <w:szCs w:val="18"/>
          <w:lang w:val="lt-LT"/>
        </w:rPr>
        <w:t>Inc</w:t>
      </w:r>
      <w:proofErr w:type="spellEnd"/>
      <w:r w:rsidRPr="00473BC7">
        <w:rPr>
          <w:rFonts w:ascii="Helvetica" w:hAnsi="Helvetica" w:cs="Helvetica"/>
          <w:sz w:val="18"/>
          <w:szCs w:val="18"/>
          <w:lang w:val="lt-LT"/>
        </w:rPr>
        <w:t>.“ yra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xml:space="preserve"> Ltd.“ (NYSE: GRMN) dukterinė įmonė.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xml:space="preserve"> Ltd.“ yra registruota Šveicarijoje, o pagrindinės jos dukterinės įmonės įsikūrusios Jungtinėse Amerikos Valstijose, Taivane ir Jungtinėje Karalystėje.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ir „</w:t>
      </w:r>
      <w:proofErr w:type="spellStart"/>
      <w:r w:rsidRPr="00473BC7">
        <w:rPr>
          <w:rFonts w:ascii="Helvetica" w:hAnsi="Helvetica" w:cs="Helvetica"/>
          <w:sz w:val="18"/>
          <w:szCs w:val="18"/>
          <w:lang w:val="lt-LT"/>
        </w:rPr>
        <w:t>Edge</w:t>
      </w:r>
      <w:proofErr w:type="spellEnd"/>
      <w:r w:rsidRPr="00473BC7">
        <w:rPr>
          <w:rFonts w:ascii="Helvetica" w:hAnsi="Helvetica" w:cs="Helvetica"/>
          <w:sz w:val="18"/>
          <w:szCs w:val="18"/>
          <w:lang w:val="lt-LT"/>
        </w:rPr>
        <w:t>“ yra registruotieji prekių ženklai, o „</w:t>
      </w:r>
      <w:proofErr w:type="spellStart"/>
      <w:r w:rsidRPr="00473BC7">
        <w:rPr>
          <w:rFonts w:ascii="Helvetica" w:hAnsi="Helvetica" w:cs="Helvetica"/>
          <w:sz w:val="18"/>
          <w:szCs w:val="18"/>
          <w:lang w:val="lt-LT"/>
        </w:rPr>
        <w:t>Tacx</w:t>
      </w:r>
      <w:proofErr w:type="spellEnd"/>
      <w:r w:rsidRPr="00473BC7">
        <w:rPr>
          <w:rFonts w:ascii="Helvetica" w:hAnsi="Helvetica" w:cs="Helvetica"/>
          <w:sz w:val="18"/>
          <w:szCs w:val="18"/>
          <w:lang w:val="lt-LT"/>
        </w:rPr>
        <w:t xml:space="preserve"> </w:t>
      </w:r>
      <w:proofErr w:type="spellStart"/>
      <w:r w:rsidRPr="00473BC7">
        <w:rPr>
          <w:rFonts w:ascii="Helvetica" w:hAnsi="Helvetica" w:cs="Helvetica"/>
          <w:sz w:val="18"/>
          <w:szCs w:val="18"/>
          <w:lang w:val="lt-LT"/>
        </w:rPr>
        <w:t>Training</w:t>
      </w:r>
      <w:proofErr w:type="spellEnd"/>
      <w:r w:rsidRPr="00473BC7">
        <w:rPr>
          <w:rFonts w:ascii="Helvetica" w:hAnsi="Helvetica" w:cs="Helvetica"/>
          <w:sz w:val="18"/>
          <w:szCs w:val="18"/>
          <w:lang w:val="lt-LT"/>
        </w:rPr>
        <w:t>“ yra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xml:space="preserve"> Ltd.“ arba jos dukterinių įmonių prekių ženklas.</w:t>
      </w:r>
    </w:p>
    <w:p w14:paraId="31060A71" w14:textId="648CF2EB" w:rsidR="0060567A" w:rsidRPr="00473BC7" w:rsidRDefault="0060567A" w:rsidP="00D314E0">
      <w:pPr>
        <w:pStyle w:val="NormalWeb"/>
        <w:contextualSpacing/>
        <w:jc w:val="both"/>
        <w:rPr>
          <w:rFonts w:ascii="Helvetica" w:hAnsi="Helvetica" w:cs="Helvetica"/>
          <w:sz w:val="18"/>
          <w:szCs w:val="18"/>
          <w:lang w:val="lt-LT"/>
        </w:rPr>
      </w:pPr>
      <w:r w:rsidRPr="00473BC7">
        <w:rPr>
          <w:rFonts w:ascii="Helvetica" w:hAnsi="Helvetica" w:cs="Helvetica"/>
          <w:sz w:val="18"/>
          <w:szCs w:val="18"/>
          <w:lang w:val="lt-LT"/>
        </w:rPr>
        <w:t xml:space="preserve"> </w:t>
      </w:r>
    </w:p>
    <w:p w14:paraId="53EA201A" w14:textId="77777777" w:rsidR="00D314E0" w:rsidRPr="00473BC7" w:rsidRDefault="00D314E0" w:rsidP="00D314E0">
      <w:pPr>
        <w:pStyle w:val="NormalWeb"/>
        <w:contextualSpacing/>
        <w:jc w:val="both"/>
        <w:rPr>
          <w:rStyle w:val="Strong"/>
          <w:rFonts w:ascii="Helvetica" w:hAnsi="Helvetica" w:cs="Helvetica"/>
          <w:sz w:val="18"/>
          <w:szCs w:val="18"/>
          <w:lang w:val="lt-LT"/>
        </w:rPr>
      </w:pPr>
      <w:r w:rsidRPr="00473BC7">
        <w:rPr>
          <w:rStyle w:val="Strong"/>
          <w:rFonts w:ascii="Helvetica" w:hAnsi="Helvetica" w:cs="Helvetica"/>
          <w:sz w:val="18"/>
          <w:szCs w:val="18"/>
          <w:lang w:val="lt-LT"/>
        </w:rPr>
        <w:t>Pranešimas apie perspektyvinius teiginius:</w:t>
      </w:r>
    </w:p>
    <w:p w14:paraId="792DE71A" w14:textId="77777777" w:rsidR="00820009" w:rsidRPr="00473BC7" w:rsidRDefault="00820009" w:rsidP="00D314E0">
      <w:pPr>
        <w:pStyle w:val="NormalWeb"/>
        <w:contextualSpacing/>
        <w:jc w:val="both"/>
        <w:rPr>
          <w:rFonts w:ascii="Helvetica" w:hAnsi="Helvetica" w:cs="Helvetica"/>
          <w:sz w:val="18"/>
          <w:szCs w:val="18"/>
          <w:lang w:val="lt-LT"/>
        </w:rPr>
      </w:pPr>
    </w:p>
    <w:p w14:paraId="57DE60DB" w14:textId="5215BF23" w:rsidR="00D314E0" w:rsidRPr="00473BC7" w:rsidRDefault="00D314E0" w:rsidP="00D314E0">
      <w:pPr>
        <w:pStyle w:val="NormalWeb"/>
        <w:contextualSpacing/>
        <w:jc w:val="both"/>
        <w:rPr>
          <w:rFonts w:ascii="Helvetica" w:hAnsi="Helvetica" w:cs="Helvetica"/>
          <w:sz w:val="18"/>
          <w:szCs w:val="18"/>
          <w:lang w:val="lt-LT"/>
        </w:rPr>
      </w:pPr>
      <w:r w:rsidRPr="00473BC7">
        <w:rPr>
          <w:rFonts w:ascii="Helvetica" w:hAnsi="Helvetica" w:cs="Helvetica"/>
          <w:sz w:val="18"/>
          <w:szCs w:val="18"/>
          <w:lang w:val="lt-LT"/>
        </w:rPr>
        <w:t>Šis pranešimas apima perspektyvinius teiginius apie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xml:space="preserve"> Ltd.“ ir jos veiklą. Tokie teiginiai grindžiami vadovybės dabartiniais lūkesčiais. Šiame pranešime aptarti perspektyviniai įvykiai ir aplinkybės gali neįvykti, o realūs rezultatai gali reikšmingai skirtis dėl žinomų ir nežinomų rizikos veiksnių bei neapibrėžtumų, turinčių įtakos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įskaitant, bet neapsiribojant, rizikos veiksniais, išvardytais 2023 m. gruodžio 30 d. metinėje ataskaitoje „</w:t>
      </w:r>
      <w:proofErr w:type="spellStart"/>
      <w:r w:rsidRPr="00473BC7">
        <w:rPr>
          <w:rFonts w:ascii="Helvetica" w:hAnsi="Helvetica" w:cs="Helvetica"/>
          <w:sz w:val="18"/>
          <w:szCs w:val="18"/>
          <w:lang w:val="lt-LT"/>
        </w:rPr>
        <w:t>Form</w:t>
      </w:r>
      <w:proofErr w:type="spellEnd"/>
      <w:r w:rsidRPr="00473BC7">
        <w:rPr>
          <w:rFonts w:ascii="Helvetica" w:hAnsi="Helvetica" w:cs="Helvetica"/>
          <w:sz w:val="18"/>
          <w:szCs w:val="18"/>
          <w:lang w:val="lt-LT"/>
        </w:rPr>
        <w:t xml:space="preserve"> 10-K“, kurią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xml:space="preserve">“ pateikė Vertybinių popierių ir biržų komisijai (bylos numeris 0001-411180). Šios ataskaitos kopiją galima rasti adresu </w:t>
      </w:r>
      <w:hyperlink r:id="rId8" w:history="1">
        <w:r w:rsidRPr="00473BC7">
          <w:rPr>
            <w:rStyle w:val="Hyperlink"/>
            <w:rFonts w:ascii="Helvetica" w:hAnsi="Helvetica" w:cs="Helvetica"/>
            <w:sz w:val="18"/>
            <w:szCs w:val="18"/>
            <w:lang w:val="lt-LT"/>
          </w:rPr>
          <w:t>http://www.garmin.com/aboutGarmin/invRelations/finReports.html</w:t>
        </w:r>
      </w:hyperlink>
      <w:r w:rsidR="00E4486A" w:rsidRPr="00473BC7">
        <w:rPr>
          <w:sz w:val="18"/>
          <w:szCs w:val="18"/>
          <w:lang w:val="pl-PL"/>
        </w:rPr>
        <w:t xml:space="preserve"> </w:t>
      </w:r>
    </w:p>
    <w:p w14:paraId="70B06BF8" w14:textId="77777777" w:rsidR="00820009" w:rsidRPr="00473BC7" w:rsidRDefault="00820009" w:rsidP="00D314E0">
      <w:pPr>
        <w:pStyle w:val="NormalWeb"/>
        <w:contextualSpacing/>
        <w:jc w:val="both"/>
        <w:rPr>
          <w:rFonts w:ascii="Helvetica" w:hAnsi="Helvetica" w:cs="Helvetica"/>
          <w:sz w:val="18"/>
          <w:szCs w:val="18"/>
          <w:lang w:val="lt-LT"/>
        </w:rPr>
      </w:pPr>
    </w:p>
    <w:p w14:paraId="0936A27B" w14:textId="77777777" w:rsidR="00D314E0" w:rsidRPr="00473BC7" w:rsidRDefault="00D314E0" w:rsidP="00D314E0">
      <w:pPr>
        <w:pStyle w:val="NormalWeb"/>
        <w:contextualSpacing/>
        <w:jc w:val="both"/>
        <w:rPr>
          <w:rFonts w:ascii="Helvetica" w:hAnsi="Helvetica" w:cs="Helvetica"/>
          <w:sz w:val="18"/>
          <w:szCs w:val="18"/>
          <w:lang w:val="lt-LT"/>
        </w:rPr>
      </w:pPr>
      <w:r w:rsidRPr="00473BC7">
        <w:rPr>
          <w:rFonts w:ascii="Helvetica" w:hAnsi="Helvetica" w:cs="Helvetica"/>
          <w:sz w:val="18"/>
          <w:szCs w:val="18"/>
          <w:lang w:val="lt-LT"/>
        </w:rPr>
        <w:t>Joks perspektyvinis teiginys nėra garantuotas. Perspektyviniai teiginiai atspindi tik jų paskelbimo datą, o „</w:t>
      </w:r>
      <w:proofErr w:type="spellStart"/>
      <w:r w:rsidRPr="00473BC7">
        <w:rPr>
          <w:rFonts w:ascii="Helvetica" w:hAnsi="Helvetica" w:cs="Helvetica"/>
          <w:sz w:val="18"/>
          <w:szCs w:val="18"/>
          <w:lang w:val="lt-LT"/>
        </w:rPr>
        <w:t>Garmin</w:t>
      </w:r>
      <w:proofErr w:type="spellEnd"/>
      <w:r w:rsidRPr="00473BC7">
        <w:rPr>
          <w:rFonts w:ascii="Helvetica" w:hAnsi="Helvetica" w:cs="Helvetica"/>
          <w:sz w:val="18"/>
          <w:szCs w:val="18"/>
          <w:lang w:val="lt-LT"/>
        </w:rPr>
        <w:t>“ neprisiima įsipareigojimo viešai atnaujinti ar tikslinti jokio perspektyvinio teiginio, nesvarbu, ar tai būtų padaryta gavus naujos informacijos, dėl ateities įvykių ar kitų priežasčių.</w:t>
      </w:r>
    </w:p>
    <w:p w14:paraId="1003F1E6" w14:textId="77777777" w:rsidR="00D314E0" w:rsidRPr="00E4486A" w:rsidRDefault="00D314E0" w:rsidP="00D314E0">
      <w:pPr>
        <w:pStyle w:val="NormalWeb"/>
        <w:contextualSpacing/>
        <w:jc w:val="both"/>
        <w:rPr>
          <w:rFonts w:ascii="Helvetica" w:hAnsi="Helvetica" w:cs="Helvetica"/>
          <w:sz w:val="18"/>
          <w:szCs w:val="18"/>
          <w:lang w:val="lt-LT"/>
        </w:rPr>
      </w:pPr>
    </w:p>
    <w:p w14:paraId="0263B44A" w14:textId="77777777" w:rsidR="00D314E0" w:rsidRDefault="00D314E0" w:rsidP="00D314E0">
      <w:pPr>
        <w:pStyle w:val="NormalWeb"/>
        <w:contextualSpacing/>
        <w:jc w:val="both"/>
        <w:rPr>
          <w:rFonts w:ascii="Helvetica" w:hAnsi="Helvetica" w:cs="Helvetica"/>
          <w:b/>
          <w:bCs/>
          <w:sz w:val="22"/>
          <w:szCs w:val="22"/>
          <w:lang w:val="lt-LT"/>
        </w:rPr>
      </w:pPr>
      <w:r>
        <w:rPr>
          <w:rFonts w:ascii="Helvetica" w:hAnsi="Helvetica" w:cs="Helvetica"/>
          <w:b/>
          <w:bCs/>
          <w:sz w:val="22"/>
          <w:szCs w:val="22"/>
          <w:lang w:val="lt-LT"/>
        </w:rPr>
        <w:t>Daugiau informacijos:</w:t>
      </w:r>
    </w:p>
    <w:p w14:paraId="413544A0" w14:textId="13936230" w:rsidR="00D314E0" w:rsidRDefault="00F61FB7" w:rsidP="00D314E0">
      <w:pPr>
        <w:pStyle w:val="NormalWeb"/>
        <w:contextualSpacing/>
        <w:rPr>
          <w:rFonts w:ascii="Helvetica" w:hAnsi="Helvetica" w:cs="Helvetica"/>
          <w:sz w:val="22"/>
          <w:szCs w:val="22"/>
          <w:lang w:val="lt-LT"/>
        </w:rPr>
      </w:pPr>
      <w:r>
        <w:rPr>
          <w:rFonts w:ascii="Helvetica" w:hAnsi="Helvetica" w:cs="Helvetica"/>
          <w:sz w:val="22"/>
          <w:szCs w:val="22"/>
          <w:lang w:val="lt-LT"/>
        </w:rPr>
        <w:lastRenderedPageBreak/>
        <w:t>Indrė Jankauskaitė-</w:t>
      </w:r>
      <w:proofErr w:type="spellStart"/>
      <w:r>
        <w:rPr>
          <w:rFonts w:ascii="Helvetica" w:hAnsi="Helvetica" w:cs="Helvetica"/>
          <w:sz w:val="22"/>
          <w:szCs w:val="22"/>
          <w:lang w:val="lt-LT"/>
        </w:rPr>
        <w:t>Činčė</w:t>
      </w:r>
      <w:proofErr w:type="spellEnd"/>
      <w:r w:rsidR="00D314E0" w:rsidRPr="00D314E0">
        <w:rPr>
          <w:rFonts w:ascii="Helvetica" w:hAnsi="Helvetica" w:cs="Helvetica"/>
          <w:sz w:val="22"/>
          <w:szCs w:val="22"/>
          <w:lang w:val="lt-LT"/>
        </w:rPr>
        <w:br/>
      </w:r>
      <w:r w:rsidR="005F596A">
        <w:rPr>
          <w:rFonts w:ascii="Helvetica" w:hAnsi="Helvetica" w:cs="Helvetica"/>
          <w:sz w:val="22"/>
          <w:szCs w:val="22"/>
          <w:lang w:val="lt-LT"/>
        </w:rPr>
        <w:t>P</w:t>
      </w:r>
      <w:r w:rsidR="00D314E0" w:rsidRPr="00D314E0">
        <w:rPr>
          <w:rFonts w:ascii="Helvetica" w:hAnsi="Helvetica" w:cs="Helvetica"/>
          <w:sz w:val="22"/>
          <w:szCs w:val="22"/>
          <w:lang w:val="lt-LT"/>
        </w:rPr>
        <w:t>rojektų vadovė</w:t>
      </w:r>
      <w:r w:rsidR="00D314E0" w:rsidRPr="00D314E0">
        <w:rPr>
          <w:rFonts w:ascii="Helvetica" w:hAnsi="Helvetica" w:cs="Helvetica"/>
          <w:sz w:val="22"/>
          <w:szCs w:val="22"/>
          <w:lang w:val="lt-LT"/>
        </w:rPr>
        <w:br/>
        <w:t>Komunikacijos agentūra co:agency</w:t>
      </w:r>
      <w:r w:rsidR="00D314E0" w:rsidRPr="00D314E0">
        <w:rPr>
          <w:rFonts w:ascii="Helvetica" w:hAnsi="Helvetica" w:cs="Helvetica"/>
          <w:sz w:val="22"/>
          <w:szCs w:val="22"/>
          <w:lang w:val="lt-LT"/>
        </w:rPr>
        <w:br/>
        <w:t xml:space="preserve">Tel. </w:t>
      </w:r>
      <w:r w:rsidR="00D314E0" w:rsidRPr="00D314E0">
        <w:rPr>
          <w:rFonts w:ascii="Helvetica" w:hAnsi="Helvetica" w:cs="Helvetica"/>
          <w:sz w:val="22"/>
          <w:szCs w:val="22"/>
        </w:rPr>
        <w:t>+</w:t>
      </w:r>
      <w:r w:rsidR="006A0FCA">
        <w:rPr>
          <w:rFonts w:ascii="Helvetica" w:hAnsi="Helvetica" w:cs="Helvetica"/>
          <w:sz w:val="22"/>
          <w:szCs w:val="22"/>
          <w:lang w:val="en-GB"/>
        </w:rPr>
        <w:t>370 650 80 375</w:t>
      </w:r>
      <w:r w:rsidR="00D314E0" w:rsidRPr="00D314E0">
        <w:rPr>
          <w:rFonts w:ascii="Helvetica" w:hAnsi="Helvetica" w:cs="Helvetica"/>
          <w:sz w:val="22"/>
          <w:szCs w:val="22"/>
        </w:rPr>
        <w:br/>
      </w:r>
      <w:hyperlink r:id="rId9" w:history="1">
        <w:r w:rsidR="006A0FCA">
          <w:rPr>
            <w:rStyle w:val="Hyperlink"/>
            <w:rFonts w:ascii="Helvetica" w:hAnsi="Helvetica" w:cs="Helvetica"/>
            <w:color w:val="2E74B5" w:themeColor="accent5" w:themeShade="BF"/>
            <w:sz w:val="22"/>
            <w:szCs w:val="22"/>
          </w:rPr>
          <w:t>indre</w:t>
        </w:r>
        <w:r w:rsidR="00D314E0" w:rsidRPr="00D314E0">
          <w:rPr>
            <w:rStyle w:val="Hyperlink"/>
            <w:rFonts w:ascii="Helvetica" w:hAnsi="Helvetica" w:cs="Helvetica"/>
            <w:color w:val="2E74B5" w:themeColor="accent5" w:themeShade="BF"/>
            <w:sz w:val="22"/>
            <w:szCs w:val="22"/>
          </w:rPr>
          <w:t>@cogency.lt</w:t>
        </w:r>
      </w:hyperlink>
    </w:p>
    <w:p w14:paraId="06D34A79" w14:textId="77777777" w:rsidR="00D45890" w:rsidRPr="00D45890" w:rsidRDefault="00D45890">
      <w:pPr>
        <w:pStyle w:val="Default"/>
        <w:spacing w:before="0"/>
        <w:jc w:val="both"/>
        <w:rPr>
          <w:rStyle w:val="None"/>
          <w:rFonts w:ascii="Times Roman" w:eastAsia="Times Roman" w:hAnsi="Times Roman" w:cs="Times Roman"/>
        </w:rPr>
      </w:pPr>
    </w:p>
    <w:p w14:paraId="2BBE1B0E" w14:textId="77777777" w:rsidR="00FC53A0" w:rsidRPr="00D45890" w:rsidRDefault="00FC53A0">
      <w:pPr>
        <w:pStyle w:val="Default"/>
        <w:spacing w:before="0"/>
        <w:jc w:val="both"/>
        <w:rPr>
          <w:rFonts w:ascii="Arial" w:eastAsia="Arial" w:hAnsi="Arial" w:cs="Arial"/>
          <w:sz w:val="31"/>
          <w:szCs w:val="31"/>
          <w:shd w:val="clear" w:color="auto" w:fill="FFFFFF"/>
        </w:rPr>
      </w:pPr>
    </w:p>
    <w:p w14:paraId="3720B15E" w14:textId="77777777" w:rsidR="00FC53A0" w:rsidRPr="00D45890" w:rsidRDefault="00FC53A0">
      <w:pPr>
        <w:pStyle w:val="Default"/>
        <w:spacing w:before="0"/>
        <w:jc w:val="both"/>
        <w:rPr>
          <w:rFonts w:ascii="Helvetica" w:eastAsia="Helvetica" w:hAnsi="Helvetica" w:cs="Helvetica"/>
          <w:sz w:val="22"/>
          <w:szCs w:val="22"/>
        </w:rPr>
      </w:pPr>
    </w:p>
    <w:p w14:paraId="7C412F59" w14:textId="77777777" w:rsidR="00FC53A0" w:rsidRPr="00D45890" w:rsidRDefault="00FC53A0">
      <w:pPr>
        <w:pStyle w:val="Default"/>
        <w:spacing w:before="0"/>
        <w:jc w:val="both"/>
        <w:rPr>
          <w:rStyle w:val="None"/>
          <w:rFonts w:ascii="Helvetica" w:eastAsia="Helvetica" w:hAnsi="Helvetica" w:cs="Helvetica"/>
          <w:i/>
          <w:iCs/>
          <w:sz w:val="22"/>
          <w:szCs w:val="22"/>
        </w:rPr>
      </w:pPr>
    </w:p>
    <w:p w14:paraId="6BC25F1E" w14:textId="77777777" w:rsidR="00FC53A0" w:rsidRPr="00D45890" w:rsidRDefault="00FC53A0">
      <w:pPr>
        <w:pStyle w:val="Body"/>
        <w:rPr>
          <w:rFonts w:ascii="Helvetica" w:eastAsia="Helvetica" w:hAnsi="Helvetica" w:cs="Helvetica"/>
          <w:color w:val="F29E65"/>
          <w:sz w:val="22"/>
          <w:szCs w:val="22"/>
          <w:u w:color="222222"/>
        </w:rPr>
      </w:pPr>
    </w:p>
    <w:p w14:paraId="1AC7F06C" w14:textId="77777777" w:rsidR="00FC53A0" w:rsidRPr="00D45890" w:rsidRDefault="00FC53A0">
      <w:pPr>
        <w:pStyle w:val="Body"/>
        <w:rPr>
          <w:rStyle w:val="None"/>
          <w:rFonts w:ascii="Helvetica" w:eastAsia="Helvetica" w:hAnsi="Helvetica" w:cs="Helvetica"/>
          <w:color w:val="F29E65"/>
          <w:sz w:val="22"/>
          <w:szCs w:val="22"/>
        </w:rPr>
      </w:pPr>
    </w:p>
    <w:p w14:paraId="035F0FB8" w14:textId="77777777" w:rsidR="00FC53A0" w:rsidRPr="00D45890" w:rsidRDefault="00FC53A0">
      <w:pPr>
        <w:pStyle w:val="Body"/>
      </w:pPr>
    </w:p>
    <w:sectPr w:rsidR="00FC53A0" w:rsidRPr="00D45890">
      <w:headerReference w:type="default" r:id="rId10"/>
      <w:footerReference w:type="default" r:id="rId11"/>
      <w:pgSz w:w="12240" w:h="15840"/>
      <w:pgMar w:top="245" w:right="1080" w:bottom="1454" w:left="1080"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979DA" w14:textId="77777777" w:rsidR="00941E64" w:rsidRDefault="00941E64">
      <w:r>
        <w:separator/>
      </w:r>
    </w:p>
  </w:endnote>
  <w:endnote w:type="continuationSeparator" w:id="0">
    <w:p w14:paraId="56F941F8" w14:textId="77777777" w:rsidR="00941E64" w:rsidRDefault="00941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auto"/>
    <w:pitch w:val="variable"/>
    <w:sig w:usb0="E50002FF" w:usb1="500079DB" w:usb2="00000010" w:usb3="00000000" w:csb0="00000001"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Times Roman">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1736E" w14:textId="77777777" w:rsidR="00FC53A0" w:rsidRDefault="00FC53A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E409D" w14:textId="77777777" w:rsidR="00941E64" w:rsidRDefault="00941E64">
      <w:r>
        <w:separator/>
      </w:r>
    </w:p>
  </w:footnote>
  <w:footnote w:type="continuationSeparator" w:id="0">
    <w:p w14:paraId="07391B5D" w14:textId="77777777" w:rsidR="00941E64" w:rsidRDefault="00941E64">
      <w:r>
        <w:continuationSeparator/>
      </w:r>
    </w:p>
  </w:footnote>
  <w:footnote w:id="1">
    <w:p w14:paraId="73723706" w14:textId="4B10E522" w:rsidR="000C5E2B" w:rsidRPr="000C5E2B" w:rsidRDefault="000C5E2B" w:rsidP="000C5E2B">
      <w:pPr>
        <w:pStyle w:val="FootnoteText"/>
        <w:jc w:val="both"/>
        <w:rPr>
          <w:lang w:val="lt-LT"/>
        </w:rPr>
      </w:pPr>
      <w:r>
        <w:rPr>
          <w:rStyle w:val="FootnoteReference"/>
        </w:rPr>
        <w:footnoteRef/>
      </w:r>
      <w:r w:rsidR="005B4E8C">
        <w:rPr>
          <w:lang w:val="lt-LT"/>
        </w:rPr>
        <w:t xml:space="preserve"> </w:t>
      </w:r>
      <w:r w:rsidR="005B4E8C" w:rsidRPr="00936D54">
        <w:rPr>
          <w:rFonts w:asciiTheme="majorHAnsi" w:hAnsiTheme="majorHAnsi"/>
          <w:sz w:val="16"/>
          <w:szCs w:val="16"/>
          <w:lang w:val="lt-LT"/>
        </w:rPr>
        <w:t>Būtina aktyvi prenumerata</w:t>
      </w:r>
      <w:r w:rsidRPr="00936D54">
        <w:rPr>
          <w:rFonts w:asciiTheme="majorHAnsi" w:hAnsiTheme="majorHAnsi"/>
          <w:sz w:val="16"/>
          <w:szCs w:val="16"/>
          <w:lang w:val="lt-LT"/>
        </w:rPr>
        <w:t>; LTE tinklo aprėptis ir palydovinis ryšys nepasiekiami visose šalyse. Šalyse, kuriose ši paslauga prieinama, aprėptis gali skirtis priklausomai nuo vietovės ir ją gali paveikti pastatai, medžiai bei oro sąlygos. Patikrinkite Garmin.com/fenix8procoverage, kad sužinotumėte, kokios paslaugos prieinamos jūsų regione arba šalyse, į kurias planuojate keliauti; kai kuriose jurisdikcijose palydovinių ryšio įrenginių naudojimas gali būti reguliuojamas arba draudžiamas. Vartotojas yra atsakingas už tai, kad žinotų ir laikytųsi visų galiojančių įstatymų jurisdikcijose, kuriose numatoma naudoti šį įrenginį.</w:t>
      </w:r>
    </w:p>
  </w:footnote>
  <w:footnote w:id="2">
    <w:p w14:paraId="50A5A8E6" w14:textId="2DDD10D2" w:rsidR="000C5E2B" w:rsidRPr="00936D54" w:rsidRDefault="000C5E2B">
      <w:pPr>
        <w:pStyle w:val="FootnoteText"/>
        <w:rPr>
          <w:rFonts w:asciiTheme="majorHAnsi" w:hAnsiTheme="majorHAnsi"/>
          <w:sz w:val="16"/>
          <w:szCs w:val="16"/>
          <w:lang w:val="lt-LT"/>
        </w:rPr>
      </w:pPr>
      <w:r w:rsidRPr="00936D54">
        <w:rPr>
          <w:rStyle w:val="FootnoteReference"/>
          <w:rFonts w:asciiTheme="majorHAnsi" w:hAnsiTheme="majorHAnsi"/>
          <w:sz w:val="16"/>
          <w:szCs w:val="16"/>
          <w:lang w:val="lt-LT"/>
        </w:rPr>
        <w:footnoteRef/>
      </w:r>
      <w:r w:rsidRPr="00936D54">
        <w:rPr>
          <w:rFonts w:asciiTheme="majorHAnsi" w:hAnsiTheme="majorHAnsi"/>
          <w:sz w:val="16"/>
          <w:szCs w:val="16"/>
          <w:lang w:val="lt-LT"/>
        </w:rPr>
        <w:t xml:space="preserve"> Aktyvumo sekimo tikslumas.</w:t>
      </w:r>
    </w:p>
  </w:footnote>
  <w:footnote w:id="3">
    <w:p w14:paraId="3415708B" w14:textId="5FA63227" w:rsidR="000C5E2B" w:rsidRPr="00936D54" w:rsidRDefault="000C5E2B" w:rsidP="00936D54">
      <w:pPr>
        <w:pStyle w:val="FootnoteText"/>
        <w:jc w:val="both"/>
        <w:rPr>
          <w:rFonts w:asciiTheme="majorHAnsi" w:hAnsiTheme="majorHAnsi"/>
          <w:sz w:val="16"/>
          <w:szCs w:val="16"/>
        </w:rPr>
      </w:pPr>
      <w:r w:rsidRPr="00936D54">
        <w:rPr>
          <w:rStyle w:val="FootnoteReference"/>
          <w:rFonts w:asciiTheme="majorHAnsi" w:hAnsiTheme="majorHAnsi"/>
          <w:sz w:val="16"/>
          <w:szCs w:val="16"/>
          <w:lang w:val="lt-LT"/>
        </w:rPr>
        <w:footnoteRef/>
      </w:r>
      <w:r w:rsidRPr="00936D54">
        <w:rPr>
          <w:rFonts w:asciiTheme="majorHAnsi" w:hAnsiTheme="majorHAnsi"/>
          <w:sz w:val="16"/>
          <w:szCs w:val="16"/>
          <w:lang w:val="lt-LT"/>
        </w:rPr>
        <w:t xml:space="preserve"> ECG programėlė yra </w:t>
      </w:r>
      <w:proofErr w:type="spellStart"/>
      <w:r w:rsidRPr="00936D54">
        <w:rPr>
          <w:rFonts w:asciiTheme="majorHAnsi" w:hAnsiTheme="majorHAnsi"/>
          <w:sz w:val="16"/>
          <w:szCs w:val="16"/>
          <w:lang w:val="lt-LT"/>
        </w:rPr>
        <w:t>IIa</w:t>
      </w:r>
      <w:proofErr w:type="spellEnd"/>
      <w:r w:rsidRPr="00936D54">
        <w:rPr>
          <w:rFonts w:asciiTheme="majorHAnsi" w:hAnsiTheme="majorHAnsi"/>
          <w:sz w:val="16"/>
          <w:szCs w:val="16"/>
          <w:lang w:val="lt-LT"/>
        </w:rPr>
        <w:t xml:space="preserve"> klasės medicinos prietaisas pagal ES Medicinos prietaisų reglamentą (MDR) (ES) 2017/745. Ši programėlė gali įrašyti ECG, panašią į I </w:t>
      </w:r>
      <w:proofErr w:type="spellStart"/>
      <w:r w:rsidRPr="00936D54">
        <w:rPr>
          <w:rFonts w:asciiTheme="majorHAnsi" w:hAnsiTheme="majorHAnsi"/>
          <w:sz w:val="16"/>
          <w:szCs w:val="16"/>
          <w:lang w:val="lt-LT"/>
        </w:rPr>
        <w:t>derivacijos</w:t>
      </w:r>
      <w:proofErr w:type="spellEnd"/>
      <w:r w:rsidRPr="00936D54">
        <w:rPr>
          <w:rFonts w:asciiTheme="majorHAnsi" w:hAnsiTheme="majorHAnsi"/>
          <w:sz w:val="16"/>
          <w:szCs w:val="16"/>
          <w:lang w:val="lt-LT"/>
        </w:rPr>
        <w:t xml:space="preserve"> ECG, ir nustatyti prieširdžių virpėjimo arba normalaus sinusinio ritmo buvimą. ECG programėlė skirta tik suaugusiesiems nuo 22 metų. Visada laikykitės naudojimo instrukcijų. Programėlė neprieinama visose regionuose ir galima tik tam tikruose </w:t>
      </w:r>
      <w:proofErr w:type="spellStart"/>
      <w:r w:rsidRPr="00936D54">
        <w:rPr>
          <w:rFonts w:asciiTheme="majorHAnsi" w:hAnsiTheme="majorHAnsi"/>
          <w:sz w:val="16"/>
          <w:szCs w:val="16"/>
          <w:lang w:val="lt-LT"/>
        </w:rPr>
        <w:t>Garmin</w:t>
      </w:r>
      <w:proofErr w:type="spellEnd"/>
      <w:r w:rsidRPr="00936D54">
        <w:rPr>
          <w:rFonts w:asciiTheme="majorHAnsi" w:hAnsiTheme="majorHAnsi"/>
          <w:sz w:val="16"/>
          <w:szCs w:val="16"/>
          <w:lang w:val="lt-LT"/>
        </w:rPr>
        <w:t xml:space="preserve"> išmaniuosiuose laikrodžiuose, turinčiuose naujausią „</w:t>
      </w:r>
      <w:proofErr w:type="spellStart"/>
      <w:r w:rsidRPr="00936D54">
        <w:rPr>
          <w:rFonts w:asciiTheme="majorHAnsi" w:hAnsiTheme="majorHAnsi"/>
          <w:sz w:val="16"/>
          <w:szCs w:val="16"/>
          <w:lang w:val="lt-LT"/>
        </w:rPr>
        <w:t>Garmin</w:t>
      </w:r>
      <w:proofErr w:type="spellEnd"/>
      <w:r w:rsidRPr="00936D54">
        <w:rPr>
          <w:rFonts w:asciiTheme="majorHAnsi" w:hAnsiTheme="majorHAnsi"/>
          <w:sz w:val="16"/>
          <w:szCs w:val="16"/>
          <w:lang w:val="lt-LT"/>
        </w:rPr>
        <w:t xml:space="preserve"> </w:t>
      </w:r>
      <w:proofErr w:type="spellStart"/>
      <w:r w:rsidRPr="00936D54">
        <w:rPr>
          <w:rFonts w:asciiTheme="majorHAnsi" w:hAnsiTheme="majorHAnsi"/>
          <w:sz w:val="16"/>
          <w:szCs w:val="16"/>
          <w:lang w:val="lt-LT"/>
        </w:rPr>
        <w:t>Connect</w:t>
      </w:r>
      <w:proofErr w:type="spellEnd"/>
      <w:r w:rsidRPr="00936D54">
        <w:rPr>
          <w:rFonts w:asciiTheme="majorHAnsi" w:hAnsiTheme="majorHAnsi"/>
          <w:sz w:val="16"/>
          <w:szCs w:val="16"/>
          <w:lang w:val="lt-LT"/>
        </w:rPr>
        <w:t>” išmaniojo telefono programos ir laikrodžio programinės įrangos versiją. Daugiau informacijos apie prieinamumą ir visą naudojimo instrukciją rasite adresu: Garmin.com/ECG.</w:t>
      </w:r>
    </w:p>
  </w:footnote>
  <w:footnote w:id="4">
    <w:p w14:paraId="08CED01B" w14:textId="39AA2B39" w:rsidR="006D7C6E" w:rsidRPr="006D7C6E" w:rsidRDefault="006D7C6E">
      <w:pPr>
        <w:pStyle w:val="FootnoteText"/>
        <w:rPr>
          <w:lang w:val="lt-LT"/>
        </w:rPr>
      </w:pPr>
      <w:r w:rsidRPr="00936D54">
        <w:rPr>
          <w:rStyle w:val="FootnoteReference"/>
          <w:rFonts w:asciiTheme="majorHAnsi" w:hAnsiTheme="majorHAnsi"/>
          <w:sz w:val="16"/>
          <w:szCs w:val="16"/>
        </w:rPr>
        <w:footnoteRef/>
      </w:r>
      <w:r w:rsidRPr="00936D54">
        <w:rPr>
          <w:rFonts w:asciiTheme="majorHAnsi" w:hAnsiTheme="majorHAnsi"/>
          <w:sz w:val="16"/>
          <w:szCs w:val="16"/>
          <w:lang w:val="lt-LT"/>
        </w:rPr>
        <w:t xml:space="preserve">Baterijos veikimo trukmės įvertis taikomas 51 mm </w:t>
      </w:r>
      <w:proofErr w:type="spellStart"/>
      <w:r w:rsidR="006153BC">
        <w:rPr>
          <w:rFonts w:asciiTheme="majorHAnsi" w:hAnsiTheme="majorHAnsi"/>
          <w:sz w:val="16"/>
          <w:szCs w:val="16"/>
          <w:lang w:val="lt-LT"/>
        </w:rPr>
        <w:t>F</w:t>
      </w:r>
      <w:r w:rsidRPr="00936D54">
        <w:rPr>
          <w:rFonts w:asciiTheme="majorHAnsi" w:hAnsiTheme="majorHAnsi"/>
          <w:sz w:val="16"/>
          <w:szCs w:val="16"/>
          <w:lang w:val="lt-LT"/>
        </w:rPr>
        <w:t>ēnix</w:t>
      </w:r>
      <w:proofErr w:type="spellEnd"/>
      <w:r w:rsidRPr="00936D54">
        <w:rPr>
          <w:rFonts w:asciiTheme="majorHAnsi" w:hAnsiTheme="majorHAnsi"/>
          <w:sz w:val="16"/>
          <w:szCs w:val="16"/>
          <w:lang w:val="lt-LT"/>
        </w:rPr>
        <w:t xml:space="preserve"> 8 Pro – AMOLED modeliui.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31BE" w14:textId="77777777" w:rsidR="00FC53A0" w:rsidRDefault="00FC53A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3A0"/>
    <w:rsid w:val="00010206"/>
    <w:rsid w:val="00023709"/>
    <w:rsid w:val="00070ED7"/>
    <w:rsid w:val="000C5E2B"/>
    <w:rsid w:val="000C6884"/>
    <w:rsid w:val="000E059C"/>
    <w:rsid w:val="000E45EA"/>
    <w:rsid w:val="000E55D4"/>
    <w:rsid w:val="00117F09"/>
    <w:rsid w:val="00134A16"/>
    <w:rsid w:val="00155811"/>
    <w:rsid w:val="00167C4E"/>
    <w:rsid w:val="00183ABF"/>
    <w:rsid w:val="00184CE4"/>
    <w:rsid w:val="001A083D"/>
    <w:rsid w:val="001E214B"/>
    <w:rsid w:val="001E4534"/>
    <w:rsid w:val="001F2702"/>
    <w:rsid w:val="001F2F95"/>
    <w:rsid w:val="00213921"/>
    <w:rsid w:val="002163C0"/>
    <w:rsid w:val="002201F8"/>
    <w:rsid w:val="0023516D"/>
    <w:rsid w:val="002539C9"/>
    <w:rsid w:val="00253F93"/>
    <w:rsid w:val="00284DDB"/>
    <w:rsid w:val="00286CBA"/>
    <w:rsid w:val="00294EB5"/>
    <w:rsid w:val="002A0950"/>
    <w:rsid w:val="002D0D52"/>
    <w:rsid w:val="002D4573"/>
    <w:rsid w:val="002E37DD"/>
    <w:rsid w:val="00303DCF"/>
    <w:rsid w:val="00312DFA"/>
    <w:rsid w:val="00316F29"/>
    <w:rsid w:val="00332BB4"/>
    <w:rsid w:val="0033363F"/>
    <w:rsid w:val="00365571"/>
    <w:rsid w:val="003662C4"/>
    <w:rsid w:val="003A1CB2"/>
    <w:rsid w:val="003B5544"/>
    <w:rsid w:val="003D081A"/>
    <w:rsid w:val="003E7AE0"/>
    <w:rsid w:val="003F09E5"/>
    <w:rsid w:val="003F489A"/>
    <w:rsid w:val="00400C1E"/>
    <w:rsid w:val="00402248"/>
    <w:rsid w:val="004337C8"/>
    <w:rsid w:val="00451AF1"/>
    <w:rsid w:val="004573D9"/>
    <w:rsid w:val="00457670"/>
    <w:rsid w:val="00473BC7"/>
    <w:rsid w:val="004E73C6"/>
    <w:rsid w:val="004F4C6E"/>
    <w:rsid w:val="0051499F"/>
    <w:rsid w:val="00520B55"/>
    <w:rsid w:val="00532C7E"/>
    <w:rsid w:val="00540872"/>
    <w:rsid w:val="00555E90"/>
    <w:rsid w:val="005836C3"/>
    <w:rsid w:val="005A0510"/>
    <w:rsid w:val="005A3A34"/>
    <w:rsid w:val="005A7E95"/>
    <w:rsid w:val="005B0D46"/>
    <w:rsid w:val="005B4E8C"/>
    <w:rsid w:val="005C0EBF"/>
    <w:rsid w:val="005F36C7"/>
    <w:rsid w:val="005F596A"/>
    <w:rsid w:val="005F62D3"/>
    <w:rsid w:val="005F77AD"/>
    <w:rsid w:val="00600A58"/>
    <w:rsid w:val="0060567A"/>
    <w:rsid w:val="006153BC"/>
    <w:rsid w:val="00642BAB"/>
    <w:rsid w:val="00650AF6"/>
    <w:rsid w:val="00650ED8"/>
    <w:rsid w:val="00662A93"/>
    <w:rsid w:val="006712F2"/>
    <w:rsid w:val="00685360"/>
    <w:rsid w:val="006A0FCA"/>
    <w:rsid w:val="006C3099"/>
    <w:rsid w:val="006D7C6E"/>
    <w:rsid w:val="006E0236"/>
    <w:rsid w:val="00706E7F"/>
    <w:rsid w:val="00770AF6"/>
    <w:rsid w:val="007A154B"/>
    <w:rsid w:val="007A1A0C"/>
    <w:rsid w:val="007A6005"/>
    <w:rsid w:val="007C0D94"/>
    <w:rsid w:val="007C7247"/>
    <w:rsid w:val="00820009"/>
    <w:rsid w:val="00841310"/>
    <w:rsid w:val="00850AB5"/>
    <w:rsid w:val="008C74AA"/>
    <w:rsid w:val="00936D54"/>
    <w:rsid w:val="00937CD9"/>
    <w:rsid w:val="00941E64"/>
    <w:rsid w:val="00952A8C"/>
    <w:rsid w:val="0097575F"/>
    <w:rsid w:val="009A48FB"/>
    <w:rsid w:val="009B687E"/>
    <w:rsid w:val="009E2571"/>
    <w:rsid w:val="00A2518E"/>
    <w:rsid w:val="00A25C7A"/>
    <w:rsid w:val="00A425ED"/>
    <w:rsid w:val="00A52A5E"/>
    <w:rsid w:val="00A676BC"/>
    <w:rsid w:val="00A744FE"/>
    <w:rsid w:val="00A81601"/>
    <w:rsid w:val="00A81AD4"/>
    <w:rsid w:val="00A90952"/>
    <w:rsid w:val="00AC515E"/>
    <w:rsid w:val="00AE4716"/>
    <w:rsid w:val="00AF723C"/>
    <w:rsid w:val="00B15987"/>
    <w:rsid w:val="00B25C8F"/>
    <w:rsid w:val="00B27362"/>
    <w:rsid w:val="00B45999"/>
    <w:rsid w:val="00B534B3"/>
    <w:rsid w:val="00B6449D"/>
    <w:rsid w:val="00B8446A"/>
    <w:rsid w:val="00BD36F6"/>
    <w:rsid w:val="00BF62E7"/>
    <w:rsid w:val="00C27418"/>
    <w:rsid w:val="00C4423C"/>
    <w:rsid w:val="00C633AD"/>
    <w:rsid w:val="00C9630D"/>
    <w:rsid w:val="00CA342B"/>
    <w:rsid w:val="00CA4B5A"/>
    <w:rsid w:val="00CA6127"/>
    <w:rsid w:val="00CA73B1"/>
    <w:rsid w:val="00CB3944"/>
    <w:rsid w:val="00CD6FC0"/>
    <w:rsid w:val="00D00459"/>
    <w:rsid w:val="00D05475"/>
    <w:rsid w:val="00D225A7"/>
    <w:rsid w:val="00D314E0"/>
    <w:rsid w:val="00D45890"/>
    <w:rsid w:val="00D46E9F"/>
    <w:rsid w:val="00D55597"/>
    <w:rsid w:val="00D65BF8"/>
    <w:rsid w:val="00D97F0B"/>
    <w:rsid w:val="00DE57E9"/>
    <w:rsid w:val="00DF1193"/>
    <w:rsid w:val="00E126DD"/>
    <w:rsid w:val="00E16B34"/>
    <w:rsid w:val="00E21122"/>
    <w:rsid w:val="00E241D6"/>
    <w:rsid w:val="00E40650"/>
    <w:rsid w:val="00E4486A"/>
    <w:rsid w:val="00E53DEF"/>
    <w:rsid w:val="00E673D9"/>
    <w:rsid w:val="00E70B0C"/>
    <w:rsid w:val="00E75D91"/>
    <w:rsid w:val="00E85CE8"/>
    <w:rsid w:val="00E94547"/>
    <w:rsid w:val="00F04D31"/>
    <w:rsid w:val="00F10C96"/>
    <w:rsid w:val="00F20D15"/>
    <w:rsid w:val="00F61FB7"/>
    <w:rsid w:val="00F76CFB"/>
    <w:rsid w:val="00FA3FE3"/>
    <w:rsid w:val="00FC4F71"/>
    <w:rsid w:val="00FC53A0"/>
    <w:rsid w:val="00FC744A"/>
    <w:rsid w:val="00FD50C2"/>
    <w:rsid w:val="00FE6C5F"/>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D5746"/>
  <w15:docId w15:val="{B266FB13-B9C4-4E37-81E8-6F88F2FFD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outline w:val="0"/>
      <w:color w:val="1155CC"/>
      <w:u w:val="single"/>
    </w:rPr>
  </w:style>
  <w:style w:type="character" w:styleId="UnresolvedMention">
    <w:name w:val="Unresolved Mention"/>
    <w:basedOn w:val="DefaultParagraphFont"/>
    <w:uiPriority w:val="99"/>
    <w:semiHidden/>
    <w:unhideWhenUsed/>
    <w:rsid w:val="00685360"/>
    <w:rPr>
      <w:color w:val="605E5C"/>
      <w:shd w:val="clear" w:color="auto" w:fill="E1DFDD"/>
    </w:rPr>
  </w:style>
  <w:style w:type="paragraph" w:styleId="FootnoteText">
    <w:name w:val="footnote text"/>
    <w:basedOn w:val="Normal"/>
    <w:link w:val="FootnoteTextChar"/>
    <w:uiPriority w:val="99"/>
    <w:semiHidden/>
    <w:unhideWhenUsed/>
    <w:rsid w:val="002163C0"/>
    <w:rPr>
      <w:sz w:val="20"/>
      <w:szCs w:val="20"/>
    </w:rPr>
  </w:style>
  <w:style w:type="character" w:customStyle="1" w:styleId="FootnoteTextChar">
    <w:name w:val="Footnote Text Char"/>
    <w:basedOn w:val="DefaultParagraphFont"/>
    <w:link w:val="FootnoteText"/>
    <w:uiPriority w:val="99"/>
    <w:semiHidden/>
    <w:rsid w:val="002163C0"/>
    <w:rPr>
      <w:lang w:val="en-US" w:eastAsia="en-US"/>
    </w:rPr>
  </w:style>
  <w:style w:type="character" w:styleId="FootnoteReference">
    <w:name w:val="footnote reference"/>
    <w:basedOn w:val="DefaultParagraphFont"/>
    <w:uiPriority w:val="99"/>
    <w:semiHidden/>
    <w:unhideWhenUsed/>
    <w:rsid w:val="002163C0"/>
    <w:rPr>
      <w:vertAlign w:val="superscript"/>
    </w:rPr>
  </w:style>
  <w:style w:type="paragraph" w:styleId="NormalWeb">
    <w:name w:val="Normal (Web)"/>
    <w:basedOn w:val="Normal"/>
    <w:uiPriority w:val="99"/>
    <w:unhideWhenUsed/>
    <w:rsid w:val="00D314E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sz w:val="20"/>
      <w:szCs w:val="20"/>
      <w:bdr w:val="none" w:sz="0" w:space="0" w:color="auto"/>
    </w:rPr>
  </w:style>
  <w:style w:type="character" w:styleId="Strong">
    <w:name w:val="Strong"/>
    <w:basedOn w:val="DefaultParagraphFont"/>
    <w:uiPriority w:val="22"/>
    <w:qFormat/>
    <w:rsid w:val="00D314E0"/>
    <w:rPr>
      <w:b/>
      <w:bCs/>
    </w:rPr>
  </w:style>
  <w:style w:type="paragraph" w:styleId="Revision">
    <w:name w:val="Revision"/>
    <w:hidden/>
    <w:uiPriority w:val="99"/>
    <w:semiHidden/>
    <w:rsid w:val="002539C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CommentReference">
    <w:name w:val="annotation reference"/>
    <w:basedOn w:val="DefaultParagraphFont"/>
    <w:uiPriority w:val="99"/>
    <w:semiHidden/>
    <w:unhideWhenUsed/>
    <w:rsid w:val="00D225A7"/>
    <w:rPr>
      <w:sz w:val="16"/>
      <w:szCs w:val="16"/>
    </w:rPr>
  </w:style>
  <w:style w:type="paragraph" w:styleId="CommentText">
    <w:name w:val="annotation text"/>
    <w:basedOn w:val="Normal"/>
    <w:link w:val="CommentTextChar"/>
    <w:uiPriority w:val="99"/>
    <w:semiHidden/>
    <w:unhideWhenUsed/>
    <w:rsid w:val="00D225A7"/>
    <w:rPr>
      <w:sz w:val="20"/>
      <w:szCs w:val="20"/>
    </w:rPr>
  </w:style>
  <w:style w:type="character" w:customStyle="1" w:styleId="CommentTextChar">
    <w:name w:val="Comment Text Char"/>
    <w:basedOn w:val="DefaultParagraphFont"/>
    <w:link w:val="CommentText"/>
    <w:uiPriority w:val="99"/>
    <w:semiHidden/>
    <w:rsid w:val="00D225A7"/>
    <w:rPr>
      <w:lang w:val="en-US" w:eastAsia="en-US"/>
    </w:rPr>
  </w:style>
  <w:style w:type="paragraph" w:styleId="CommentSubject">
    <w:name w:val="annotation subject"/>
    <w:basedOn w:val="CommentText"/>
    <w:next w:val="CommentText"/>
    <w:link w:val="CommentSubjectChar"/>
    <w:uiPriority w:val="99"/>
    <w:semiHidden/>
    <w:unhideWhenUsed/>
    <w:rsid w:val="00D225A7"/>
    <w:rPr>
      <w:b/>
      <w:bCs/>
    </w:rPr>
  </w:style>
  <w:style w:type="character" w:customStyle="1" w:styleId="CommentSubjectChar">
    <w:name w:val="Comment Subject Char"/>
    <w:basedOn w:val="CommentTextChar"/>
    <w:link w:val="CommentSubject"/>
    <w:uiPriority w:val="99"/>
    <w:semiHidden/>
    <w:rsid w:val="00D225A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18119">
      <w:bodyDiv w:val="1"/>
      <w:marLeft w:val="0"/>
      <w:marRight w:val="0"/>
      <w:marTop w:val="0"/>
      <w:marBottom w:val="0"/>
      <w:divBdr>
        <w:top w:val="none" w:sz="0" w:space="0" w:color="auto"/>
        <w:left w:val="none" w:sz="0" w:space="0" w:color="auto"/>
        <w:bottom w:val="none" w:sz="0" w:space="0" w:color="auto"/>
        <w:right w:val="none" w:sz="0" w:space="0" w:color="auto"/>
      </w:divBdr>
    </w:div>
    <w:div w:id="733165464">
      <w:bodyDiv w:val="1"/>
      <w:marLeft w:val="0"/>
      <w:marRight w:val="0"/>
      <w:marTop w:val="0"/>
      <w:marBottom w:val="0"/>
      <w:divBdr>
        <w:top w:val="none" w:sz="0" w:space="0" w:color="auto"/>
        <w:left w:val="none" w:sz="0" w:space="0" w:color="auto"/>
        <w:bottom w:val="none" w:sz="0" w:space="0" w:color="auto"/>
        <w:right w:val="none" w:sz="0" w:space="0" w:color="auto"/>
      </w:divBdr>
      <w:divsChild>
        <w:div w:id="713429560">
          <w:marLeft w:val="0"/>
          <w:marRight w:val="0"/>
          <w:marTop w:val="0"/>
          <w:marBottom w:val="0"/>
          <w:divBdr>
            <w:top w:val="none" w:sz="0" w:space="0" w:color="auto"/>
            <w:left w:val="none" w:sz="0" w:space="0" w:color="auto"/>
            <w:bottom w:val="none" w:sz="0" w:space="0" w:color="auto"/>
            <w:right w:val="none" w:sz="0" w:space="0" w:color="auto"/>
          </w:divBdr>
          <w:divsChild>
            <w:div w:id="1272586020">
              <w:marLeft w:val="0"/>
              <w:marRight w:val="0"/>
              <w:marTop w:val="0"/>
              <w:marBottom w:val="0"/>
              <w:divBdr>
                <w:top w:val="none" w:sz="0" w:space="0" w:color="auto"/>
                <w:left w:val="none" w:sz="0" w:space="0" w:color="auto"/>
                <w:bottom w:val="none" w:sz="0" w:space="0" w:color="auto"/>
                <w:right w:val="none" w:sz="0" w:space="0" w:color="auto"/>
              </w:divBdr>
              <w:divsChild>
                <w:div w:id="1324505323">
                  <w:marLeft w:val="0"/>
                  <w:marRight w:val="0"/>
                  <w:marTop w:val="0"/>
                  <w:marBottom w:val="0"/>
                  <w:divBdr>
                    <w:top w:val="none" w:sz="0" w:space="0" w:color="auto"/>
                    <w:left w:val="none" w:sz="0" w:space="0" w:color="auto"/>
                    <w:bottom w:val="none" w:sz="0" w:space="0" w:color="auto"/>
                    <w:right w:val="none" w:sz="0" w:space="0" w:color="auto"/>
                  </w:divBdr>
                  <w:divsChild>
                    <w:div w:id="205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580522">
          <w:marLeft w:val="0"/>
          <w:marRight w:val="0"/>
          <w:marTop w:val="0"/>
          <w:marBottom w:val="0"/>
          <w:divBdr>
            <w:top w:val="none" w:sz="0" w:space="0" w:color="auto"/>
            <w:left w:val="none" w:sz="0" w:space="0" w:color="auto"/>
            <w:bottom w:val="none" w:sz="0" w:space="0" w:color="auto"/>
            <w:right w:val="none" w:sz="0" w:space="0" w:color="auto"/>
          </w:divBdr>
          <w:divsChild>
            <w:div w:id="45837445">
              <w:marLeft w:val="0"/>
              <w:marRight w:val="0"/>
              <w:marTop w:val="0"/>
              <w:marBottom w:val="0"/>
              <w:divBdr>
                <w:top w:val="none" w:sz="0" w:space="0" w:color="auto"/>
                <w:left w:val="none" w:sz="0" w:space="0" w:color="auto"/>
                <w:bottom w:val="none" w:sz="0" w:space="0" w:color="auto"/>
                <w:right w:val="none" w:sz="0" w:space="0" w:color="auto"/>
              </w:divBdr>
              <w:divsChild>
                <w:div w:id="253589112">
                  <w:marLeft w:val="0"/>
                  <w:marRight w:val="0"/>
                  <w:marTop w:val="0"/>
                  <w:marBottom w:val="0"/>
                  <w:divBdr>
                    <w:top w:val="none" w:sz="0" w:space="0" w:color="auto"/>
                    <w:left w:val="none" w:sz="0" w:space="0" w:color="auto"/>
                    <w:bottom w:val="none" w:sz="0" w:space="0" w:color="auto"/>
                    <w:right w:val="none" w:sz="0" w:space="0" w:color="auto"/>
                  </w:divBdr>
                  <w:divsChild>
                    <w:div w:id="202875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965439">
      <w:bodyDiv w:val="1"/>
      <w:marLeft w:val="0"/>
      <w:marRight w:val="0"/>
      <w:marTop w:val="0"/>
      <w:marBottom w:val="0"/>
      <w:divBdr>
        <w:top w:val="none" w:sz="0" w:space="0" w:color="auto"/>
        <w:left w:val="none" w:sz="0" w:space="0" w:color="auto"/>
        <w:bottom w:val="none" w:sz="0" w:space="0" w:color="auto"/>
        <w:right w:val="none" w:sz="0" w:space="0" w:color="auto"/>
      </w:divBdr>
      <w:divsChild>
        <w:div w:id="1194996934">
          <w:marLeft w:val="0"/>
          <w:marRight w:val="0"/>
          <w:marTop w:val="0"/>
          <w:marBottom w:val="0"/>
          <w:divBdr>
            <w:top w:val="none" w:sz="0" w:space="0" w:color="auto"/>
            <w:left w:val="none" w:sz="0" w:space="0" w:color="auto"/>
            <w:bottom w:val="none" w:sz="0" w:space="0" w:color="auto"/>
            <w:right w:val="none" w:sz="0" w:space="0" w:color="auto"/>
          </w:divBdr>
          <w:divsChild>
            <w:div w:id="244805138">
              <w:marLeft w:val="0"/>
              <w:marRight w:val="0"/>
              <w:marTop w:val="0"/>
              <w:marBottom w:val="0"/>
              <w:divBdr>
                <w:top w:val="none" w:sz="0" w:space="0" w:color="auto"/>
                <w:left w:val="none" w:sz="0" w:space="0" w:color="auto"/>
                <w:bottom w:val="none" w:sz="0" w:space="0" w:color="auto"/>
                <w:right w:val="none" w:sz="0" w:space="0" w:color="auto"/>
              </w:divBdr>
              <w:divsChild>
                <w:div w:id="1631547587">
                  <w:marLeft w:val="0"/>
                  <w:marRight w:val="0"/>
                  <w:marTop w:val="0"/>
                  <w:marBottom w:val="0"/>
                  <w:divBdr>
                    <w:top w:val="none" w:sz="0" w:space="0" w:color="auto"/>
                    <w:left w:val="none" w:sz="0" w:space="0" w:color="auto"/>
                    <w:bottom w:val="none" w:sz="0" w:space="0" w:color="auto"/>
                    <w:right w:val="none" w:sz="0" w:space="0" w:color="auto"/>
                  </w:divBdr>
                  <w:divsChild>
                    <w:div w:id="19217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930529">
          <w:marLeft w:val="0"/>
          <w:marRight w:val="0"/>
          <w:marTop w:val="0"/>
          <w:marBottom w:val="0"/>
          <w:divBdr>
            <w:top w:val="none" w:sz="0" w:space="0" w:color="auto"/>
            <w:left w:val="none" w:sz="0" w:space="0" w:color="auto"/>
            <w:bottom w:val="none" w:sz="0" w:space="0" w:color="auto"/>
            <w:right w:val="none" w:sz="0" w:space="0" w:color="auto"/>
          </w:divBdr>
          <w:divsChild>
            <w:div w:id="1682462755">
              <w:marLeft w:val="0"/>
              <w:marRight w:val="0"/>
              <w:marTop w:val="0"/>
              <w:marBottom w:val="0"/>
              <w:divBdr>
                <w:top w:val="none" w:sz="0" w:space="0" w:color="auto"/>
                <w:left w:val="none" w:sz="0" w:space="0" w:color="auto"/>
                <w:bottom w:val="none" w:sz="0" w:space="0" w:color="auto"/>
                <w:right w:val="none" w:sz="0" w:space="0" w:color="auto"/>
              </w:divBdr>
              <w:divsChild>
                <w:div w:id="1059130548">
                  <w:marLeft w:val="0"/>
                  <w:marRight w:val="0"/>
                  <w:marTop w:val="0"/>
                  <w:marBottom w:val="0"/>
                  <w:divBdr>
                    <w:top w:val="none" w:sz="0" w:space="0" w:color="auto"/>
                    <w:left w:val="none" w:sz="0" w:space="0" w:color="auto"/>
                    <w:bottom w:val="none" w:sz="0" w:space="0" w:color="auto"/>
                    <w:right w:val="none" w:sz="0" w:space="0" w:color="auto"/>
                  </w:divBdr>
                  <w:divsChild>
                    <w:div w:id="5615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armin.com/aboutGarmin/invRelations/finReport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amile.a@cogency.lt"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9CC3F-71CF-4F01-B321-58026857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4031</Words>
  <Characters>2298</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Kamilė Augėnaitė | Coagency</dc:creator>
  <cp:lastModifiedBy>Gravitas Partners</cp:lastModifiedBy>
  <cp:revision>4</cp:revision>
  <dcterms:created xsi:type="dcterms:W3CDTF">2025-09-03T08:45:00Z</dcterms:created>
  <dcterms:modified xsi:type="dcterms:W3CDTF">2025-09-03T10:39:00Z</dcterms:modified>
</cp:coreProperties>
</file>