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3C43C078"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521495">
        <w:rPr>
          <w:rFonts w:ascii="Times New Roman" w:hAnsi="Times New Roman" w:cs="Times New Roman"/>
          <w:sz w:val="28"/>
          <w:szCs w:val="24"/>
          <w:lang w:val="en-US"/>
        </w:rPr>
        <w:t>9</w:t>
      </w:r>
      <w:r w:rsidR="002F6B5E">
        <w:rPr>
          <w:rFonts w:ascii="Times New Roman" w:hAnsi="Times New Roman" w:cs="Times New Roman"/>
          <w:sz w:val="28"/>
          <w:szCs w:val="24"/>
          <w:lang w:val="en-US"/>
        </w:rPr>
        <w:t>-</w:t>
      </w:r>
      <w:r w:rsidR="008435CD">
        <w:rPr>
          <w:rFonts w:ascii="Times New Roman" w:hAnsi="Times New Roman" w:cs="Times New Roman"/>
          <w:sz w:val="28"/>
          <w:szCs w:val="24"/>
          <w:lang w:val="en-US"/>
        </w:rPr>
        <w:t>12</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745271E6" w14:textId="77777777" w:rsidR="008435CD" w:rsidRPr="008435CD" w:rsidRDefault="008435CD" w:rsidP="008435CD">
      <w:pPr>
        <w:spacing w:after="160" w:line="259" w:lineRule="auto"/>
        <w:jc w:val="center"/>
        <w:rPr>
          <w:rFonts w:ascii="Aptos" w:eastAsia="Aptos" w:hAnsi="Aptos" w:cs="Times New Roman"/>
          <w:b/>
          <w:bCs/>
          <w:kern w:val="2"/>
          <w14:ligatures w14:val="standardContextual"/>
        </w:rPr>
      </w:pPr>
      <w:r w:rsidRPr="008435CD">
        <w:rPr>
          <w:rFonts w:ascii="Aptos" w:eastAsia="Aptos" w:hAnsi="Aptos" w:cs="Times New Roman"/>
          <w:b/>
          <w:bCs/>
          <w:kern w:val="2"/>
          <w14:ligatures w14:val="standardContextual"/>
        </w:rPr>
        <w:t>Šeimos kortelės partneriams – nacionaliniai apdovanojimai</w:t>
      </w:r>
    </w:p>
    <w:p w14:paraId="19E87A6B" w14:textId="77777777" w:rsidR="008435CD" w:rsidRPr="008435CD" w:rsidRDefault="008435CD" w:rsidP="008435CD">
      <w:pPr>
        <w:spacing w:after="160" w:line="259" w:lineRule="auto"/>
        <w:rPr>
          <w:rFonts w:ascii="Aptos" w:eastAsia="Aptos" w:hAnsi="Aptos" w:cs="Times New Roman"/>
          <w:kern w:val="2"/>
          <w14:ligatures w14:val="standardContextual"/>
        </w:rPr>
      </w:pPr>
    </w:p>
    <w:p w14:paraId="06AD2A13" w14:textId="77777777" w:rsidR="008435CD" w:rsidRPr="008435CD" w:rsidRDefault="008435CD" w:rsidP="008435CD">
      <w:pPr>
        <w:spacing w:after="160" w:line="259" w:lineRule="auto"/>
        <w:jc w:val="both"/>
        <w:rPr>
          <w:rFonts w:ascii="Aptos" w:eastAsia="Aptos" w:hAnsi="Aptos" w:cs="Times New Roman"/>
          <w:kern w:val="2"/>
          <w14:ligatures w14:val="standardContextual"/>
        </w:rPr>
      </w:pPr>
      <w:r w:rsidRPr="008435CD">
        <w:rPr>
          <w:rFonts w:ascii="Aptos" w:eastAsia="Aptos" w:hAnsi="Aptos" w:cs="Times New Roman"/>
          <w:b/>
          <w:bCs/>
          <w:kern w:val="2"/>
          <w14:ligatures w14:val="standardContextual"/>
        </w:rPr>
        <w:t>Kaune vykusiame  Šeimos kortelės partnerių renginyje apdovanoti labiausiai šiemet prisidėję prie šios kilnios misijos partneriai. Jau šešerius metus gausios ar negalią turinčius vaikus auginančios šeimos Lietuvoje gali pasinaudoti Šeimos kortelės teikiamomis naudomis, nuolaidomis ir privilegijomis.</w:t>
      </w:r>
    </w:p>
    <w:p w14:paraId="3C33CE27"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xml:space="preserve">Teisę į Šeimos kortelę turi daugiau kaip 44 tūkst. šeimų, pirmąja kortele naudojasi daugiau kaip 18 tūkst. Lietuvos šeimų, </w:t>
      </w:r>
      <w:proofErr w:type="spellStart"/>
      <w:r w:rsidRPr="008435CD">
        <w:rPr>
          <w:rFonts w:ascii="Aptos" w:eastAsia="Aptos" w:hAnsi="Aptos" w:cs="Aptos"/>
          <w:kern w:val="2"/>
          <w:lang w:eastAsia="lt-LT"/>
          <w14:ligatures w14:val="standardContextual"/>
        </w:rPr>
        <w:t>t.y</w:t>
      </w:r>
      <w:proofErr w:type="spellEnd"/>
      <w:r w:rsidRPr="008435CD">
        <w:rPr>
          <w:rFonts w:ascii="Aptos" w:eastAsia="Aptos" w:hAnsi="Aptos" w:cs="Aptos"/>
          <w:kern w:val="2"/>
          <w:lang w:eastAsia="lt-LT"/>
          <w14:ligatures w14:val="standardContextual"/>
        </w:rPr>
        <w:t xml:space="preserve">. 40 proc. teisę į šią kortelę turinčių šeimų. Kortelė populiariausia didžiuosiuose šalies miestuose. </w:t>
      </w:r>
    </w:p>
    <w:p w14:paraId="2A78914D"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Šiuo metu Šeimos kortelės programoje dalyvauja daugiau kaip 300 partnerių. Prekes ar paslaugas su šios kortelės naudomis galima įsigyti maždaug 3 tūkstančiuose vietų, plečiasi internetu veikiančių įmonių iniciatyvos. Vyksta bendradarbiavimas ir su užsienio partneriais iš Baltijos šalių. Latvijoje naudas su lietuviška Šeimos kortele galima gauti daugiau nei 160 vietų.</w:t>
      </w:r>
    </w:p>
    <w:p w14:paraId="6E6AF65C" w14:textId="77777777" w:rsidR="008435CD" w:rsidRPr="008435CD" w:rsidRDefault="008435CD" w:rsidP="008435CD">
      <w:pPr>
        <w:spacing w:after="160" w:line="259" w:lineRule="auto"/>
        <w:rPr>
          <w:rFonts w:ascii="Aptos" w:eastAsia="Aptos" w:hAnsi="Aptos" w:cs="Times New Roman"/>
          <w:kern w:val="2"/>
          <w14:ligatures w14:val="standardContextual"/>
        </w:rPr>
      </w:pPr>
      <w:r w:rsidRPr="008435CD">
        <w:rPr>
          <w:rFonts w:ascii="Aptos" w:eastAsia="Aptos" w:hAnsi="Aptos" w:cs="Times New Roman"/>
          <w:b/>
          <w:bCs/>
          <w:kern w:val="2"/>
          <w14:ligatures w14:val="standardContextual"/>
        </w:rPr>
        <w:t>Šeimos kortelės apdovanojimų laimėtojai</w:t>
      </w:r>
    </w:p>
    <w:p w14:paraId="187A1AE4" w14:textId="77777777" w:rsidR="008435CD" w:rsidRPr="008435CD" w:rsidRDefault="008435CD" w:rsidP="008435CD">
      <w:pPr>
        <w:spacing w:after="160" w:line="259" w:lineRule="auto"/>
        <w:jc w:val="both"/>
        <w:rPr>
          <w:rFonts w:ascii="Aptos" w:eastAsia="Aptos" w:hAnsi="Aptos" w:cs="Times New Roman"/>
          <w:kern w:val="2"/>
          <w14:ligatures w14:val="standardContextual"/>
        </w:rPr>
      </w:pPr>
      <w:r w:rsidRPr="008435CD">
        <w:rPr>
          <w:rFonts w:ascii="Aptos" w:eastAsia="Aptos" w:hAnsi="Aptos" w:cs="Times New Roman"/>
          <w:kern w:val="2"/>
          <w14:ligatures w14:val="standardContextual"/>
        </w:rPr>
        <w:t>Nacionaliniu mastu ar tik konkrečiame regione veikiančios įmonės apdovanotos 4 kategorijose: </w:t>
      </w:r>
      <w:r w:rsidRPr="008435CD">
        <w:rPr>
          <w:rFonts w:ascii="Aptos" w:eastAsia="Aptos" w:hAnsi="Aptos" w:cs="Times New Roman"/>
          <w:b/>
          <w:bCs/>
          <w:kern w:val="2"/>
          <w14:ligatures w14:val="standardContextual"/>
        </w:rPr>
        <w:t>„YPATINGIEJI 2025“, „LEDLAUŽIS 2025“, „PRAMOGOS 2025“ ir „VIRTUALIEJI 2025“</w:t>
      </w:r>
      <w:r w:rsidRPr="008435CD">
        <w:rPr>
          <w:rFonts w:ascii="Aptos" w:eastAsia="Aptos" w:hAnsi="Aptos" w:cs="Times New Roman"/>
          <w:kern w:val="2"/>
          <w14:ligatures w14:val="standardContextual"/>
        </w:rPr>
        <w:t xml:space="preserve">. </w:t>
      </w:r>
      <w:proofErr w:type="spellStart"/>
      <w:r w:rsidRPr="008435CD">
        <w:rPr>
          <w:rFonts w:ascii="Aptos" w:eastAsia="Aptos" w:hAnsi="Aptos" w:cs="Times New Roman"/>
          <w:kern w:val="2"/>
          <w14:ligatures w14:val="standardContextual"/>
        </w:rPr>
        <w:t>Nominantus</w:t>
      </w:r>
      <w:proofErr w:type="spellEnd"/>
      <w:r w:rsidRPr="008435CD">
        <w:rPr>
          <w:rFonts w:ascii="Aptos" w:eastAsia="Aptos" w:hAnsi="Aptos" w:cs="Times New Roman"/>
          <w:kern w:val="2"/>
          <w14:ligatures w14:val="standardContextual"/>
        </w:rPr>
        <w:t xml:space="preserve"> ir laimėtojus išrinko komisija, sudaryta iš šeimos gerovės srityje dirbančių ekspertų ir NVO atstovų.</w:t>
      </w:r>
    </w:p>
    <w:p w14:paraId="1F664CDC" w14:textId="77777777" w:rsidR="008435CD" w:rsidRPr="008435CD" w:rsidRDefault="008435CD" w:rsidP="008435CD">
      <w:pPr>
        <w:spacing w:after="160" w:line="259" w:lineRule="auto"/>
        <w:jc w:val="both"/>
        <w:rPr>
          <w:rFonts w:ascii="Aptos" w:eastAsia="Aptos" w:hAnsi="Aptos" w:cs="Aptos"/>
          <w:kern w:val="2"/>
          <w:lang w:eastAsia="lt-LT"/>
          <w14:ligatures w14:val="standardContextual"/>
        </w:rPr>
      </w:pPr>
      <w:r w:rsidRPr="008435CD">
        <w:rPr>
          <w:rFonts w:ascii="Aptos" w:eastAsia="Aptos" w:hAnsi="Aptos" w:cs="Times New Roman"/>
          <w:kern w:val="2"/>
          <w14:ligatures w14:val="standardContextual"/>
        </w:rPr>
        <w:t>Kategorijos </w:t>
      </w:r>
      <w:r w:rsidRPr="008435CD">
        <w:rPr>
          <w:rFonts w:ascii="Aptos" w:eastAsia="Aptos" w:hAnsi="Aptos" w:cs="Times New Roman"/>
          <w:b/>
          <w:bCs/>
          <w:kern w:val="2"/>
          <w14:ligatures w14:val="standardContextual"/>
        </w:rPr>
        <w:t>„YPATINGIEJI 2025“</w:t>
      </w:r>
      <w:r w:rsidRPr="008435CD">
        <w:rPr>
          <w:rFonts w:ascii="Aptos" w:eastAsia="Aptos" w:hAnsi="Aptos" w:cs="Times New Roman"/>
          <w:kern w:val="2"/>
          <w14:ligatures w14:val="standardContextual"/>
        </w:rPr>
        <w:t xml:space="preserve"> nominacija skirta pagerbti partnerius už ilgametį vaisingą bendradarbiavimą su Šeimos kortelės programa. Šios nominacijos laimėtoju tapo </w:t>
      </w:r>
      <w:bookmarkStart w:id="0" w:name="_Hlk208398903"/>
      <w:r w:rsidRPr="008435CD">
        <w:rPr>
          <w:rFonts w:ascii="Aptos" w:eastAsia="Aptos" w:hAnsi="Aptos" w:cs="Aptos"/>
          <w:kern w:val="2"/>
          <w:lang w:eastAsia="lt-LT"/>
          <w14:ligatures w14:val="standardContextual"/>
        </w:rPr>
        <w:t>MB „Matematikos mokykla“</w:t>
      </w:r>
      <w:bookmarkEnd w:id="0"/>
      <w:r w:rsidRPr="008435CD">
        <w:rPr>
          <w:rFonts w:ascii="Aptos" w:eastAsia="Aptos" w:hAnsi="Aptos" w:cs="Aptos"/>
          <w:kern w:val="2"/>
          <w:lang w:eastAsia="lt-LT"/>
          <w14:ligatures w14:val="standardContextual"/>
        </w:rPr>
        <w:t xml:space="preserve">, teikianti labai svarbią paslaugą šeimoms – padedanti vaikams susigaudyti nelengvame matematikos pasaulyje. Šeimos kortelės turėtojams bendrovė teikia 20 proc. nuolaidas pamokoms. </w:t>
      </w:r>
    </w:p>
    <w:p w14:paraId="329F57F5" w14:textId="77777777" w:rsidR="008435CD" w:rsidRPr="008435CD" w:rsidRDefault="008435CD" w:rsidP="008435CD">
      <w:pPr>
        <w:spacing w:after="160" w:line="259"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xml:space="preserve">„Lietuvoje kritiškai trūkstant mokytojų, tėvai pagalbos ieško pas korepetitorius. Ir nors visi suprantam, kad investicijos į vaikų ateitį visada atsipirks, gausioms šeimoms tokia finansinė našta dažnai yra per sunki. Norime, kad kokybiškas mokymas būtų prieinamas visiems, todėl nuo pat Šeimos kortelės atsiradimo 2019 metais taikome reikšmingas nuolaidas Šeimos kortelės turėtojams. Nors esame maža įmonė, jau padėjome daugiau nei 100 mokinių bendrai sutaupyti daugiau kaip 15000 eurų ir džiaugiamės, kad taip galime prisidėti prie mūsų visų ateities", – sako MB „Matematikos mokykla“ vadovas Mindaugas </w:t>
      </w:r>
      <w:proofErr w:type="spellStart"/>
      <w:r w:rsidRPr="008435CD">
        <w:rPr>
          <w:rFonts w:ascii="Aptos" w:eastAsia="Aptos" w:hAnsi="Aptos" w:cs="Aptos"/>
          <w:kern w:val="2"/>
          <w:lang w:eastAsia="lt-LT"/>
          <w14:ligatures w14:val="standardContextual"/>
        </w:rPr>
        <w:t>Lipskas</w:t>
      </w:r>
      <w:proofErr w:type="spellEnd"/>
      <w:r w:rsidRPr="008435CD">
        <w:rPr>
          <w:rFonts w:ascii="Aptos" w:eastAsia="Aptos" w:hAnsi="Aptos" w:cs="Aptos"/>
          <w:kern w:val="2"/>
          <w:lang w:eastAsia="lt-LT"/>
          <w14:ligatures w14:val="standardContextual"/>
        </w:rPr>
        <w:t>.</w:t>
      </w:r>
    </w:p>
    <w:p w14:paraId="25FE2926" w14:textId="77777777" w:rsidR="008435CD" w:rsidRPr="008435CD" w:rsidRDefault="008435CD" w:rsidP="008435CD">
      <w:pPr>
        <w:spacing w:after="160" w:line="259"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Kategorijos </w:t>
      </w:r>
      <w:r w:rsidRPr="008435CD">
        <w:rPr>
          <w:rFonts w:ascii="Aptos" w:eastAsia="Aptos" w:hAnsi="Aptos" w:cs="Aptos"/>
          <w:b/>
          <w:bCs/>
          <w:kern w:val="2"/>
          <w:lang w:eastAsia="lt-LT"/>
          <w14:ligatures w14:val="standardContextual"/>
        </w:rPr>
        <w:t>„LEDLAUŽIS 2025“</w:t>
      </w:r>
      <w:r w:rsidRPr="008435CD">
        <w:rPr>
          <w:rFonts w:ascii="Aptos" w:eastAsia="Aptos" w:hAnsi="Aptos" w:cs="Aptos"/>
          <w:kern w:val="2"/>
          <w:lang w:eastAsia="lt-LT"/>
          <w14:ligatures w14:val="standardContextual"/>
        </w:rPr>
        <w:t> nominacija skirta pagerbti partnerius, kurių prisijungimas prie Šeimos kortelės programos turėjo svarią įtaką motyvuojant prisijungti kitus. Šios nominacijos laimėtoju tapo Vytauto Didžiojo universiteto Botanikos sodas – tai pirmas ir kol kas vienintelis botanikos sodas, tapęs Šeimos kortelės partneriu, taip pat tai pirma partnerystė su universitetu, kuriam priklauso šis botanikos sodas.</w:t>
      </w:r>
    </w:p>
    <w:p w14:paraId="227D53CC" w14:textId="77777777" w:rsidR="008435CD" w:rsidRPr="008435CD" w:rsidRDefault="008435CD" w:rsidP="008435CD">
      <w:pPr>
        <w:spacing w:after="160" w:line="259"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xml:space="preserve">„Mūsų tikslas – kad kiekviena šeima atrastų Botanikos sode vietą pažinimui, poilsiui ir įkvėpimui. Džiaugiamės, kad bendradarbiaudami su „Šeimos kortele“, galime praturtinti šeimų laisvalaikį“, – sako Vytauto Didžiojo universiteto Botanikos sodo Paslaugų ir edukacijos skyriaus vadovė Kristina </w:t>
      </w:r>
      <w:proofErr w:type="spellStart"/>
      <w:r w:rsidRPr="008435CD">
        <w:rPr>
          <w:rFonts w:ascii="Aptos" w:eastAsia="Aptos" w:hAnsi="Aptos" w:cs="Aptos"/>
          <w:kern w:val="2"/>
          <w:lang w:eastAsia="lt-LT"/>
          <w14:ligatures w14:val="standardContextual"/>
        </w:rPr>
        <w:t>Mulevičienė</w:t>
      </w:r>
      <w:proofErr w:type="spellEnd"/>
      <w:r w:rsidRPr="008435CD">
        <w:rPr>
          <w:rFonts w:ascii="Aptos" w:eastAsia="Aptos" w:hAnsi="Aptos" w:cs="Aptos"/>
          <w:kern w:val="2"/>
          <w:lang w:eastAsia="lt-LT"/>
          <w14:ligatures w14:val="standardContextual"/>
        </w:rPr>
        <w:t>.</w:t>
      </w:r>
    </w:p>
    <w:p w14:paraId="3D048D67" w14:textId="77777777" w:rsidR="008435CD" w:rsidRPr="008435CD" w:rsidRDefault="008435CD" w:rsidP="008435CD">
      <w:pPr>
        <w:spacing w:after="160" w:line="259" w:lineRule="auto"/>
        <w:jc w:val="both"/>
        <w:rPr>
          <w:rFonts w:ascii="Aptos" w:eastAsia="Aptos" w:hAnsi="Aptos" w:cs="Aptos"/>
          <w:lang w:eastAsia="lt-LT"/>
        </w:rPr>
      </w:pPr>
      <w:r w:rsidRPr="008435CD">
        <w:rPr>
          <w:rFonts w:ascii="Aptos" w:eastAsia="Aptos" w:hAnsi="Aptos" w:cs="Aptos"/>
          <w:kern w:val="2"/>
          <w:lang w:eastAsia="lt-LT"/>
          <w14:ligatures w14:val="standardContextual"/>
        </w:rPr>
        <w:t>Kategorijos </w:t>
      </w:r>
      <w:r w:rsidRPr="008435CD">
        <w:rPr>
          <w:rFonts w:ascii="Aptos" w:eastAsia="Aptos" w:hAnsi="Aptos" w:cs="Aptos"/>
          <w:b/>
          <w:bCs/>
          <w:kern w:val="2"/>
          <w:lang w:eastAsia="lt-LT"/>
          <w14:ligatures w14:val="standardContextual"/>
        </w:rPr>
        <w:t>„PRAMOGOS 2025“</w:t>
      </w:r>
      <w:r w:rsidRPr="008435CD">
        <w:rPr>
          <w:rFonts w:ascii="Aptos" w:eastAsia="Aptos" w:hAnsi="Aptos" w:cs="Aptos"/>
          <w:kern w:val="2"/>
          <w:lang w:eastAsia="lt-LT"/>
          <w14:ligatures w14:val="standardContextual"/>
        </w:rPr>
        <w:t xml:space="preserve"> nominacija skirta pagerbti partnerius, kurių dėka žymiai išsiplėtė šeimų galimybės pramogauti ir mokytis pramogaujant. Šios nominacijos laimėtoju tapo </w:t>
      </w:r>
      <w:r w:rsidRPr="008435CD">
        <w:rPr>
          <w:rFonts w:ascii="Aptos" w:eastAsia="Aptos" w:hAnsi="Aptos" w:cs="Aptos"/>
          <w:lang w:eastAsia="lt-LT"/>
        </w:rPr>
        <w:t xml:space="preserve">Nacionalinis M. </w:t>
      </w:r>
      <w:r w:rsidRPr="008435CD">
        <w:rPr>
          <w:rFonts w:ascii="Aptos" w:eastAsia="Aptos" w:hAnsi="Aptos" w:cs="Aptos"/>
          <w:lang w:eastAsia="lt-LT"/>
        </w:rPr>
        <w:lastRenderedPageBreak/>
        <w:t>K. Čiurlionio dailės muziejus – Šeimos kortelės turėtojai visuose muziejaus padaliniuose gali lankytis nemokamai. 2025-ieji metai paskelbti M. K. Čiurlionio metais, o šį reikšmingą įvykį globoja UNESCO ir Lietuvos Respublikos Seimas.</w:t>
      </w:r>
    </w:p>
    <w:p w14:paraId="72B18F84" w14:textId="77777777" w:rsidR="008435CD" w:rsidRPr="008435CD" w:rsidRDefault="008435CD" w:rsidP="008435CD">
      <w:pPr>
        <w:spacing w:after="160" w:line="259" w:lineRule="auto"/>
        <w:jc w:val="both"/>
        <w:rPr>
          <w:rFonts w:ascii="Aptos" w:eastAsia="Aptos" w:hAnsi="Aptos" w:cs="Aptos"/>
          <w:lang w:eastAsia="lt-LT"/>
        </w:rPr>
      </w:pPr>
      <w:r w:rsidRPr="008435CD">
        <w:rPr>
          <w:rFonts w:ascii="Aptos" w:eastAsia="Aptos" w:hAnsi="Aptos" w:cs="Aptos"/>
          <w:lang w:eastAsia="lt-LT"/>
        </w:rPr>
        <w:t xml:space="preserve">„Nacionaliniam M. K. Čiurlionio dailės muziejui itin svarbu, kad menas būtų prieinamas kuo platesnei auditorijai. Dalyvavimas Šeimos kortelės programoje leidžia šeimoms kartu atrasti aukštos meninės vertės kultūrą ir M. K. Čiurlionio kūrybos pasaulį. Tikime, kad bendri apsilankymai muziejuje stiprina šeimos tarpusavio ryšius ir ugdo meilę kultūrai nuo mažų dienų. Beje, M. K. Čiurlionis taip pat yra užaugęs gausioje šeimoje", – sako Nacionalinio M. K. Čiurlionio dailės muziejaus Edukacijos skyriaus vedėja  Justė </w:t>
      </w:r>
      <w:proofErr w:type="spellStart"/>
      <w:r w:rsidRPr="008435CD">
        <w:rPr>
          <w:rFonts w:ascii="Aptos" w:eastAsia="Aptos" w:hAnsi="Aptos" w:cs="Aptos"/>
          <w:lang w:eastAsia="lt-LT"/>
        </w:rPr>
        <w:t>Kutkienė</w:t>
      </w:r>
      <w:proofErr w:type="spellEnd"/>
      <w:r w:rsidRPr="008435CD">
        <w:rPr>
          <w:rFonts w:ascii="Aptos" w:eastAsia="Aptos" w:hAnsi="Aptos" w:cs="Aptos"/>
          <w:lang w:eastAsia="lt-LT"/>
        </w:rPr>
        <w:t xml:space="preserve">. </w:t>
      </w:r>
    </w:p>
    <w:p w14:paraId="20DBB8C3" w14:textId="77777777" w:rsidR="008435CD" w:rsidRPr="008435CD" w:rsidRDefault="008435CD" w:rsidP="008435CD">
      <w:pPr>
        <w:spacing w:after="160" w:line="259"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Kategorijos </w:t>
      </w:r>
      <w:r w:rsidRPr="008435CD">
        <w:rPr>
          <w:rFonts w:ascii="Aptos" w:eastAsia="Aptos" w:hAnsi="Aptos" w:cs="Aptos"/>
          <w:b/>
          <w:bCs/>
          <w:kern w:val="2"/>
          <w:lang w:eastAsia="lt-LT"/>
          <w14:ligatures w14:val="standardContextual"/>
        </w:rPr>
        <w:t>„VIRTUALIEJI 2025“</w:t>
      </w:r>
      <w:r w:rsidRPr="008435CD">
        <w:rPr>
          <w:rFonts w:ascii="Aptos" w:eastAsia="Aptos" w:hAnsi="Aptos" w:cs="Aptos"/>
          <w:kern w:val="2"/>
          <w:lang w:eastAsia="lt-LT"/>
          <w14:ligatures w14:val="standardContextual"/>
        </w:rPr>
        <w:t> nominacija skirta pagerbti partnerius, kurių dėka šeimoms plačiausiai atsiveria skaitmeninės galimybės, o privilegijos atkeliauja į namus, nepaisant to, kur gyvena. Šios nominacijos laimėtoju tapo UAB „</w:t>
      </w:r>
      <w:proofErr w:type="spellStart"/>
      <w:r w:rsidRPr="008435CD">
        <w:rPr>
          <w:rFonts w:ascii="Aptos" w:eastAsia="Aptos" w:hAnsi="Aptos" w:cs="Aptos"/>
          <w:kern w:val="2"/>
          <w:lang w:eastAsia="lt-LT"/>
          <w14:ligatures w14:val="standardContextual"/>
        </w:rPr>
        <w:t>Eurovaistinė</w:t>
      </w:r>
      <w:proofErr w:type="spellEnd"/>
      <w:r w:rsidRPr="008435CD">
        <w:rPr>
          <w:rFonts w:ascii="Aptos" w:eastAsia="Aptos" w:hAnsi="Aptos" w:cs="Aptos"/>
          <w:kern w:val="2"/>
          <w:lang w:eastAsia="lt-LT"/>
          <w14:ligatures w14:val="standardContextual"/>
        </w:rPr>
        <w:t>“, veikianti tiek fizinėse vaistinėse, tiek internete. Bendrovė Šeimos kortelės turėtojams perkant tris prekes ir daugiau vaistinėje arba interneto parduotuvėje teikia 20-30 proc. nuolaidas.</w:t>
      </w:r>
    </w:p>
    <w:p w14:paraId="284BC36B" w14:textId="77777777" w:rsidR="008435CD" w:rsidRPr="008435CD" w:rsidRDefault="008435CD" w:rsidP="008435CD">
      <w:pPr>
        <w:spacing w:after="160" w:line="259"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„Mes nuolat ieškome naujų virtualių sprendimų, kaip palengvinti kiekvieno žmogaus apsilankymą internetinėje vaistinėje. Mūsų komandai rūpi, kad kiekvienas čia gautų ne tik aukščiausios kokybės farmacinę paslaugą, bet ir aktualiausius pasiūlymus už mažą kainą. Dėl to draugystė su Šeimos kortele mums itin svarbi – kartu galime suteikti dar daugiau galimybių šeimoms ir pasirūpinti, kad jos jaustųsi gerai“, – sako Andrius Jurgelevičius, „</w:t>
      </w:r>
      <w:proofErr w:type="spellStart"/>
      <w:r w:rsidRPr="008435CD">
        <w:rPr>
          <w:rFonts w:ascii="Aptos" w:eastAsia="Aptos" w:hAnsi="Aptos" w:cs="Aptos"/>
          <w:kern w:val="2"/>
          <w:lang w:eastAsia="lt-LT"/>
          <w14:ligatures w14:val="standardContextual"/>
        </w:rPr>
        <w:t>Eurovaistinės</w:t>
      </w:r>
      <w:proofErr w:type="spellEnd"/>
      <w:r w:rsidRPr="008435CD">
        <w:rPr>
          <w:rFonts w:ascii="Aptos" w:eastAsia="Aptos" w:hAnsi="Aptos" w:cs="Aptos"/>
          <w:kern w:val="2"/>
          <w:lang w:eastAsia="lt-LT"/>
          <w14:ligatures w14:val="standardContextual"/>
        </w:rPr>
        <w:t>“ internete vadovas.</w:t>
      </w:r>
    </w:p>
    <w:p w14:paraId="7D94AAA5"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b/>
          <w:bCs/>
          <w:kern w:val="2"/>
          <w:lang w:eastAsia="lt-LT"/>
          <w14:ligatures w14:val="standardContextual"/>
        </w:rPr>
        <w:t>Kaip tapti Šeimos kortelės partneriu?</w:t>
      </w:r>
    </w:p>
    <w:p w14:paraId="4B6386C8"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Viešieji ir privatūs juridiniai asmenys kviečiami prisijungti prie Šeimos kortelės programos.</w:t>
      </w:r>
    </w:p>
    <w:p w14:paraId="443696D3"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Jie nuolaidas gali teikti trimis lygiais:</w:t>
      </w:r>
    </w:p>
    <w:p w14:paraId="7D44F344"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Kortelės svečio – kai privilegijos su Šeimos kortele yra vienkartinės,</w:t>
      </w:r>
    </w:p>
    <w:p w14:paraId="59357701"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Kortelės draugo – kai norima privilegijas teikti nuo trijų iki šešių mėnesių</w:t>
      </w:r>
    </w:p>
    <w:p w14:paraId="73235294"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Kortelės partnerio – kai derinamos visos su privilegijų teikimu susijusios aplinkybės bei pasirašoma partnerystės sutartis.</w:t>
      </w:r>
    </w:p>
    <w:p w14:paraId="2D23E337"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Daugiau apie tai, kaip tapti partneriu bei Partnerystės teikiamas naudas galite rasti čia.</w:t>
      </w:r>
    </w:p>
    <w:p w14:paraId="54D07ABD"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b/>
          <w:bCs/>
          <w:kern w:val="2"/>
          <w:lang w:eastAsia="lt-LT"/>
          <w14:ligatures w14:val="standardContextual"/>
        </w:rPr>
        <w:t>Kas gali gauti Šeimos kortelę?</w:t>
      </w:r>
    </w:p>
    <w:p w14:paraId="5D01829E"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Gausi šeima – tai tokia šeima, kurioje auga 3 ir daugiau vaikų, įvaikių ar nuolatinai globojamų iki 18 metų amžiaus.</w:t>
      </w:r>
    </w:p>
    <w:p w14:paraId="1DFCDF10"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Į gausios šeimos gretas patenka ir pilnamečiai vaikai iki 24 metų, jei jie neturi savo vaikų ir mokosi bendrojo ugdymo mokykloje, profesinėje mokykloje pagal formaliojo ugdymo programą pirmajai kvalifikacijai įgyti ar studijuoja aukštojoje mokykloje pagal nuolatinės studijų formos programą.</w:t>
      </w:r>
    </w:p>
    <w:p w14:paraId="09061F5D"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Gausios šeimos nariu pilnametis vaikas išlieka pabaigęs bendrojo ugdymo mokyklą iki tų metų rugsėjo, kai tradiciškai prasideda studijos universitetuose ar profesinėse mokyklose.</w:t>
      </w:r>
    </w:p>
    <w:p w14:paraId="4AEDEF40"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Gausioje šeimoje gali būti du tėvai ar vienas iš tėvų. Jei pora išsiskiria, gausios šeimos statusas lieka tam iš tėvų, su kuriuo teismo sprendimu lieka gyventi vaikai. Kortelę gauti gali ir šeima, kurioje auga vaikai iš ankstesnių santuokų, kai šeimoje iš viso yra 3 ar daugiau vaikų, nepriklausomai nuo to, kurioje santuokoje vaikai gimė.</w:t>
      </w:r>
    </w:p>
    <w:p w14:paraId="25005A7F"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Svarbu, kad teisę gauti Šeimos kortelę turi tik tas iš tėvų, su kuriuo teismo sprendimu ar tėvų sutarimu gyvena vaikas, ir bendrai, jo šeimoje auga ne mažiau nei 3 vaikai.</w:t>
      </w:r>
    </w:p>
    <w:p w14:paraId="199C715D"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lastRenderedPageBreak/>
        <w:t>Negalią turintį vaiką slauganti, prižiūrinti šeima – šeima, kurioje kartu su tėvais gyvena vaikas, kuriam nustatytas negalios lygis arba darbingo amžiaus nesusituokęs asmuo, kuriam nustatytas specialusis nuolatinės priežiūros (pagalbos) ar specialusis nuolatinės slaugos poreikis.</w:t>
      </w:r>
    </w:p>
    <w:p w14:paraId="21B5AB3E"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b/>
          <w:bCs/>
          <w:kern w:val="2"/>
          <w:lang w:eastAsia="lt-LT"/>
          <w14:ligatures w14:val="standardContextual"/>
        </w:rPr>
        <w:t>Kaip gauti Šeimos kortelę?</w:t>
      </w:r>
    </w:p>
    <w:p w14:paraId="517734AD"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xml:space="preserve">Prašymą gauti Šeimos kortelę galima pildyti interneto svetainėje </w:t>
      </w:r>
      <w:hyperlink r:id="rId7" w:history="1">
        <w:r w:rsidRPr="008435CD">
          <w:rPr>
            <w:rFonts w:ascii="Aptos" w:eastAsia="Aptos" w:hAnsi="Aptos" w:cs="Aptos"/>
            <w:color w:val="0000FF"/>
            <w:kern w:val="2"/>
            <w:u w:val="single"/>
            <w:lang w:eastAsia="lt-LT"/>
            <w14:ligatures w14:val="standardContextual"/>
          </w:rPr>
          <w:t>www.spis.lt</w:t>
        </w:r>
      </w:hyperlink>
      <w:r w:rsidRPr="008435CD">
        <w:rPr>
          <w:rFonts w:ascii="Aptos" w:eastAsia="Aptos" w:hAnsi="Aptos" w:cs="Aptos"/>
          <w:kern w:val="2"/>
          <w:lang w:eastAsia="lt-LT"/>
          <w14:ligatures w14:val="standardContextual"/>
        </w:rPr>
        <w:t>, rašyti raštu (prašymo formą galima rasti interneto svetainėje) ir siųsti Socialinių paslaugų priežiūros departamentui paštu, adresu Vivulskio g. 13, 03162 Vilnius, arba pateikti tiesiogiai atvykus nurodytu adresu į departamentą.</w:t>
      </w:r>
    </w:p>
    <w:p w14:paraId="652CB1CE" w14:textId="77777777" w:rsidR="008435CD" w:rsidRPr="008435CD" w:rsidRDefault="008435CD" w:rsidP="008435CD">
      <w:pPr>
        <w:spacing w:after="160" w:line="252" w:lineRule="auto"/>
        <w:jc w:val="both"/>
        <w:rPr>
          <w:rFonts w:ascii="Aptos" w:eastAsia="Aptos" w:hAnsi="Aptos" w:cs="Aptos"/>
          <w:kern w:val="2"/>
          <w:lang w:eastAsia="lt-LT"/>
          <w14:ligatures w14:val="standardContextual"/>
        </w:rPr>
      </w:pPr>
      <w:r w:rsidRPr="008435CD">
        <w:rPr>
          <w:rFonts w:ascii="Aptos" w:eastAsia="Aptos" w:hAnsi="Aptos" w:cs="Aptos"/>
          <w:kern w:val="2"/>
          <w:lang w:eastAsia="lt-LT"/>
          <w14:ligatures w14:val="standardContextual"/>
        </w:rPr>
        <w:t> </w:t>
      </w:r>
    </w:p>
    <w:p w14:paraId="7EAE0752" w14:textId="77777777" w:rsidR="008435CD" w:rsidRPr="008435CD" w:rsidRDefault="008435CD" w:rsidP="008435CD">
      <w:pPr>
        <w:spacing w:after="0" w:line="259" w:lineRule="auto"/>
        <w:ind w:hanging="850"/>
        <w:jc w:val="both"/>
        <w:rPr>
          <w:rFonts w:ascii="Times New Roman" w:eastAsia="Aptos" w:hAnsi="Times New Roman" w:cs="Times New Roman"/>
          <w:kern w:val="2"/>
          <w:sz w:val="28"/>
          <w:szCs w:val="24"/>
          <w:lang w:val="en-US"/>
          <w14:ligatures w14:val="standardContextual"/>
        </w:rPr>
      </w:pPr>
    </w:p>
    <w:p w14:paraId="755BCCAC" w14:textId="77777777" w:rsidR="008435CD" w:rsidRPr="008435CD" w:rsidRDefault="008435CD" w:rsidP="008435CD">
      <w:pPr>
        <w:spacing w:after="160" w:line="259" w:lineRule="auto"/>
        <w:jc w:val="both"/>
        <w:rPr>
          <w:rFonts w:ascii="Aptos" w:eastAsia="Aptos" w:hAnsi="Aptos" w:cs="Times New Roman"/>
          <w:kern w:val="2"/>
          <w14:ligatures w14:val="standardContextual"/>
        </w:rPr>
      </w:pPr>
    </w:p>
    <w:p w14:paraId="5DC7D44D" w14:textId="77777777" w:rsidR="008435CD" w:rsidRPr="008435CD" w:rsidRDefault="008435CD" w:rsidP="008435CD">
      <w:pPr>
        <w:spacing w:after="160" w:line="259" w:lineRule="auto"/>
        <w:rPr>
          <w:rFonts w:ascii="Aptos" w:eastAsia="Aptos" w:hAnsi="Aptos" w:cs="Times New Roman"/>
          <w:kern w:val="2"/>
          <w14:ligatures w14:val="standardContextual"/>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8"/>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58B56" w14:textId="77777777" w:rsidR="00F41856" w:rsidRDefault="00F41856" w:rsidP="00035D54">
      <w:pPr>
        <w:spacing w:after="0" w:line="240" w:lineRule="auto"/>
      </w:pPr>
      <w:r>
        <w:separator/>
      </w:r>
    </w:p>
  </w:endnote>
  <w:endnote w:type="continuationSeparator" w:id="0">
    <w:p w14:paraId="19723871" w14:textId="77777777" w:rsidR="00F41856" w:rsidRDefault="00F41856"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D6C5B" w14:textId="77777777" w:rsidR="00F41856" w:rsidRDefault="00F41856" w:rsidP="00035D54">
      <w:pPr>
        <w:spacing w:after="0" w:line="240" w:lineRule="auto"/>
      </w:pPr>
      <w:r>
        <w:separator/>
      </w:r>
    </w:p>
  </w:footnote>
  <w:footnote w:type="continuationSeparator" w:id="0">
    <w:p w14:paraId="67BA1F28" w14:textId="77777777" w:rsidR="00F41856" w:rsidRDefault="00F41856"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F7ACA"/>
    <w:rsid w:val="0012057D"/>
    <w:rsid w:val="001266F6"/>
    <w:rsid w:val="001424B5"/>
    <w:rsid w:val="0015014E"/>
    <w:rsid w:val="0015304C"/>
    <w:rsid w:val="001578D0"/>
    <w:rsid w:val="00170567"/>
    <w:rsid w:val="001763C9"/>
    <w:rsid w:val="0019213B"/>
    <w:rsid w:val="001D54BD"/>
    <w:rsid w:val="001F5817"/>
    <w:rsid w:val="00210097"/>
    <w:rsid w:val="0021561D"/>
    <w:rsid w:val="00234537"/>
    <w:rsid w:val="00241B02"/>
    <w:rsid w:val="0024398B"/>
    <w:rsid w:val="00244002"/>
    <w:rsid w:val="002555C1"/>
    <w:rsid w:val="002832B9"/>
    <w:rsid w:val="002C0FFC"/>
    <w:rsid w:val="002C112A"/>
    <w:rsid w:val="002C4BCA"/>
    <w:rsid w:val="002E0A3B"/>
    <w:rsid w:val="002F3522"/>
    <w:rsid w:val="002F6B5E"/>
    <w:rsid w:val="003056D1"/>
    <w:rsid w:val="00345755"/>
    <w:rsid w:val="00447527"/>
    <w:rsid w:val="004E4B81"/>
    <w:rsid w:val="00507121"/>
    <w:rsid w:val="00515C3A"/>
    <w:rsid w:val="005164CA"/>
    <w:rsid w:val="00521495"/>
    <w:rsid w:val="00540696"/>
    <w:rsid w:val="0056330D"/>
    <w:rsid w:val="00594924"/>
    <w:rsid w:val="00615D97"/>
    <w:rsid w:val="00632171"/>
    <w:rsid w:val="006423E6"/>
    <w:rsid w:val="0067043A"/>
    <w:rsid w:val="006C4470"/>
    <w:rsid w:val="006E27D9"/>
    <w:rsid w:val="00756DC6"/>
    <w:rsid w:val="007725F2"/>
    <w:rsid w:val="007A3C23"/>
    <w:rsid w:val="007D37C1"/>
    <w:rsid w:val="007F1FB2"/>
    <w:rsid w:val="008435CD"/>
    <w:rsid w:val="00854A68"/>
    <w:rsid w:val="009453A2"/>
    <w:rsid w:val="009A34AC"/>
    <w:rsid w:val="009E657D"/>
    <w:rsid w:val="009E7A35"/>
    <w:rsid w:val="009F507B"/>
    <w:rsid w:val="00A501B1"/>
    <w:rsid w:val="00A93F64"/>
    <w:rsid w:val="00B148F3"/>
    <w:rsid w:val="00B15C0A"/>
    <w:rsid w:val="00B226D7"/>
    <w:rsid w:val="00B34CD2"/>
    <w:rsid w:val="00B8360A"/>
    <w:rsid w:val="00BA6502"/>
    <w:rsid w:val="00C71268"/>
    <w:rsid w:val="00C81686"/>
    <w:rsid w:val="00CD76BE"/>
    <w:rsid w:val="00D236BE"/>
    <w:rsid w:val="00D43F20"/>
    <w:rsid w:val="00DD28F9"/>
    <w:rsid w:val="00E1764E"/>
    <w:rsid w:val="00E45C69"/>
    <w:rsid w:val="00E94E0A"/>
    <w:rsid w:val="00EA64C3"/>
    <w:rsid w:val="00EF3701"/>
    <w:rsid w:val="00F2740C"/>
    <w:rsid w:val="00F41856"/>
    <w:rsid w:val="00F76766"/>
    <w:rsid w:val="00FA7E47"/>
    <w:rsid w:val="00FC26BA"/>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pi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773</Words>
  <Characters>6446</Characters>
  <Application>Microsoft Office Word</Application>
  <DocSecurity>0</DocSecurity>
  <Lines>805</Lines>
  <Paragraphs>555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2025-09-12T07:10:00Z</dcterms:created>
  <dcterms:modified xsi:type="dcterms:W3CDTF">2025-09-12T07:10:00Z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