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ACC5A" w14:textId="01CBBF3C" w:rsidR="00A84C69" w:rsidRDefault="002B0369" w:rsidP="00A84C69">
      <w:pPr>
        <w:snapToGrid w:val="0"/>
        <w:spacing w:after="0"/>
        <w:jc w:val="left"/>
        <w:rPr>
          <w:rFonts w:ascii="Verdana" w:hAnsi="Verdana"/>
          <w:b/>
          <w:sz w:val="24"/>
          <w:szCs w:val="24"/>
        </w:rPr>
      </w:pPr>
      <w:r>
        <w:rPr>
          <w:rFonts w:ascii="Verdana" w:hAnsi="Verdana"/>
          <w:b/>
          <w:sz w:val="24"/>
          <w:szCs w:val="24"/>
        </w:rPr>
        <w:t xml:space="preserve">Trys ketvirčiai būsto rinkoje: </w:t>
      </w:r>
      <w:r w:rsidR="002D2D05">
        <w:rPr>
          <w:rFonts w:ascii="Verdana" w:hAnsi="Verdana"/>
          <w:b/>
          <w:sz w:val="24"/>
          <w:szCs w:val="24"/>
        </w:rPr>
        <w:t>ilgalaikis struktūrinis būsto poreikis ir pasiūlos–paklausos (dis)balansas</w:t>
      </w:r>
    </w:p>
    <w:p w14:paraId="46D0FC66" w14:textId="253112E9" w:rsidR="00C35436" w:rsidRPr="0076656D" w:rsidRDefault="00B41BA4" w:rsidP="00A84C69">
      <w:pPr>
        <w:snapToGrid w:val="0"/>
        <w:spacing w:after="0"/>
        <w:jc w:val="left"/>
        <w:rPr>
          <w:rFonts w:ascii="Verdana" w:hAnsi="Verdana" w:cs="Open Sans Light"/>
          <w:i/>
          <w:color w:val="000000" w:themeColor="text1"/>
          <w:sz w:val="16"/>
          <w:szCs w:val="16"/>
        </w:rPr>
      </w:pPr>
      <w:r w:rsidRPr="0076656D">
        <w:rPr>
          <w:rFonts w:ascii="Verdana" w:hAnsi="Verdana" w:cs="Open Sans Light"/>
          <w:i/>
          <w:color w:val="000000" w:themeColor="text1"/>
          <w:sz w:val="16"/>
          <w:szCs w:val="16"/>
        </w:rPr>
        <w:t>202</w:t>
      </w:r>
      <w:r w:rsidR="00E974DE" w:rsidRPr="0076656D">
        <w:rPr>
          <w:rFonts w:ascii="Verdana" w:hAnsi="Verdana" w:cs="Open Sans Light"/>
          <w:i/>
          <w:color w:val="000000" w:themeColor="text1"/>
          <w:sz w:val="16"/>
          <w:szCs w:val="16"/>
        </w:rPr>
        <w:t>5</w:t>
      </w:r>
      <w:r w:rsidRPr="0076656D">
        <w:rPr>
          <w:rFonts w:ascii="Verdana" w:hAnsi="Verdana" w:cs="Open Sans Light"/>
          <w:i/>
          <w:color w:val="000000" w:themeColor="text1"/>
          <w:sz w:val="16"/>
          <w:szCs w:val="16"/>
        </w:rPr>
        <w:t xml:space="preserve"> m. </w:t>
      </w:r>
      <w:r w:rsidR="007B7CAF">
        <w:rPr>
          <w:rFonts w:ascii="Verdana" w:hAnsi="Verdana" w:cs="Open Sans Light"/>
          <w:i/>
          <w:color w:val="000000" w:themeColor="text1"/>
          <w:sz w:val="16"/>
          <w:szCs w:val="16"/>
        </w:rPr>
        <w:t>spalio</w:t>
      </w:r>
      <w:r w:rsidRPr="0076656D">
        <w:rPr>
          <w:rFonts w:ascii="Verdana" w:hAnsi="Verdana" w:cs="Open Sans Light"/>
          <w:i/>
          <w:color w:val="000000" w:themeColor="text1"/>
          <w:sz w:val="16"/>
          <w:szCs w:val="16"/>
        </w:rPr>
        <w:t xml:space="preserve"> </w:t>
      </w:r>
      <w:r w:rsidR="00727A9B">
        <w:rPr>
          <w:rFonts w:ascii="Verdana" w:hAnsi="Verdana" w:cs="Open Sans Light"/>
          <w:i/>
          <w:color w:val="000000" w:themeColor="text1"/>
          <w:sz w:val="16"/>
          <w:szCs w:val="16"/>
        </w:rPr>
        <w:t>1</w:t>
      </w:r>
      <w:r w:rsidRPr="0076656D">
        <w:rPr>
          <w:rFonts w:ascii="Verdana" w:hAnsi="Verdana" w:cs="Open Sans Light"/>
          <w:i/>
          <w:color w:val="000000" w:themeColor="text1"/>
          <w:sz w:val="16"/>
          <w:szCs w:val="16"/>
        </w:rPr>
        <w:t xml:space="preserve"> d.</w:t>
      </w:r>
    </w:p>
    <w:p w14:paraId="5AB90836" w14:textId="77777777" w:rsidR="0012235E" w:rsidRPr="0076656D" w:rsidRDefault="0012235E" w:rsidP="00A84C69">
      <w:pPr>
        <w:snapToGrid w:val="0"/>
        <w:spacing w:after="0"/>
        <w:jc w:val="left"/>
        <w:rPr>
          <w:rFonts w:ascii="Verdana" w:hAnsi="Verdana" w:cs="Open Sans Light"/>
          <w:i/>
          <w:color w:val="000000" w:themeColor="text1"/>
          <w:sz w:val="16"/>
          <w:szCs w:val="16"/>
        </w:rPr>
      </w:pPr>
    </w:p>
    <w:p w14:paraId="2954AC6A" w14:textId="1EF9769B" w:rsidR="007B7CAF" w:rsidRPr="007B7CAF" w:rsidRDefault="007B7CAF" w:rsidP="007B7CAF">
      <w:pPr>
        <w:rPr>
          <w:rFonts w:ascii="Verdana" w:hAnsi="Verdana"/>
          <w:b/>
          <w:bCs/>
          <w:sz w:val="18"/>
          <w:szCs w:val="20"/>
        </w:rPr>
      </w:pPr>
      <w:r w:rsidRPr="007B7CAF">
        <w:rPr>
          <w:rFonts w:ascii="Verdana" w:hAnsi="Verdana"/>
          <w:b/>
          <w:bCs/>
          <w:sz w:val="18"/>
          <w:szCs w:val="20"/>
        </w:rPr>
        <w:t xml:space="preserve">Išankstiniais būsto plėtros kompanijos „Citus“ analitikų duomenimis, Vilniaus pirminėje rinkoje rugsėjį sudaryti 586 sandoriai dėl naujų būstų (butų, kotedžų, loftų) įsigijimo*. Mėnuo buvo maždaug </w:t>
      </w:r>
      <w:r w:rsidR="00226A21">
        <w:rPr>
          <w:rFonts w:ascii="Verdana" w:hAnsi="Verdana"/>
          <w:b/>
          <w:bCs/>
          <w:sz w:val="18"/>
          <w:szCs w:val="20"/>
        </w:rPr>
        <w:t>12</w:t>
      </w:r>
      <w:r w:rsidRPr="007B7CAF">
        <w:rPr>
          <w:rFonts w:ascii="Verdana" w:hAnsi="Verdana"/>
          <w:b/>
          <w:bCs/>
          <w:sz w:val="18"/>
          <w:szCs w:val="20"/>
        </w:rPr>
        <w:t>,5 proc. gausesnis nei rugpjūtis, o ketvirtis (1 </w:t>
      </w:r>
      <w:r w:rsidR="00226A21">
        <w:rPr>
          <w:rFonts w:ascii="Verdana" w:hAnsi="Verdana"/>
          <w:b/>
          <w:bCs/>
          <w:sz w:val="18"/>
          <w:szCs w:val="20"/>
        </w:rPr>
        <w:t>605</w:t>
      </w:r>
      <w:r w:rsidRPr="007B7CAF">
        <w:rPr>
          <w:rFonts w:ascii="Verdana" w:hAnsi="Verdana"/>
          <w:b/>
          <w:bCs/>
          <w:sz w:val="18"/>
          <w:szCs w:val="20"/>
        </w:rPr>
        <w:t xml:space="preserve"> sandoriai) – 1</w:t>
      </w:r>
      <w:r w:rsidR="00226A21">
        <w:rPr>
          <w:rFonts w:ascii="Verdana" w:hAnsi="Verdana"/>
          <w:b/>
          <w:bCs/>
          <w:sz w:val="18"/>
          <w:szCs w:val="20"/>
        </w:rPr>
        <w:t>9</w:t>
      </w:r>
      <w:r w:rsidRPr="007B7CAF">
        <w:rPr>
          <w:rFonts w:ascii="Verdana" w:hAnsi="Verdana"/>
          <w:b/>
          <w:bCs/>
          <w:sz w:val="18"/>
          <w:szCs w:val="20"/>
        </w:rPr>
        <w:t>,</w:t>
      </w:r>
      <w:r w:rsidR="00226A21">
        <w:rPr>
          <w:rFonts w:ascii="Verdana" w:hAnsi="Verdana"/>
          <w:b/>
          <w:bCs/>
          <w:sz w:val="18"/>
          <w:szCs w:val="20"/>
        </w:rPr>
        <w:t>2</w:t>
      </w:r>
      <w:r w:rsidRPr="007B7CAF">
        <w:rPr>
          <w:rFonts w:ascii="Verdana" w:hAnsi="Verdana"/>
          <w:b/>
          <w:bCs/>
          <w:sz w:val="18"/>
          <w:szCs w:val="20"/>
        </w:rPr>
        <w:t xml:space="preserve"> proc. rezultatyvesnis už ankstesnį </w:t>
      </w:r>
      <w:r w:rsidR="00226A21">
        <w:rPr>
          <w:rFonts w:ascii="Verdana" w:hAnsi="Verdana"/>
          <w:b/>
          <w:bCs/>
          <w:sz w:val="18"/>
          <w:szCs w:val="20"/>
        </w:rPr>
        <w:t xml:space="preserve">ketvirtį </w:t>
      </w:r>
      <w:r w:rsidRPr="007B7CAF">
        <w:rPr>
          <w:rFonts w:ascii="Verdana" w:hAnsi="Verdana"/>
          <w:b/>
          <w:bCs/>
          <w:sz w:val="18"/>
          <w:szCs w:val="20"/>
        </w:rPr>
        <w:t>ir net 6</w:t>
      </w:r>
      <w:r w:rsidR="00226A21">
        <w:rPr>
          <w:rFonts w:ascii="Verdana" w:hAnsi="Verdana"/>
          <w:b/>
          <w:bCs/>
          <w:sz w:val="18"/>
          <w:szCs w:val="20"/>
        </w:rPr>
        <w:t>8,6</w:t>
      </w:r>
      <w:r w:rsidRPr="007B7CAF">
        <w:rPr>
          <w:rFonts w:ascii="Verdana" w:hAnsi="Verdana"/>
          <w:b/>
          <w:bCs/>
          <w:sz w:val="18"/>
          <w:szCs w:val="20"/>
        </w:rPr>
        <w:t xml:space="preserve"> proc. geresnis nei praėjusių metų III ketv.</w:t>
      </w:r>
    </w:p>
    <w:p w14:paraId="30672F82" w14:textId="5AF0B2D3" w:rsidR="007B7CAF" w:rsidRPr="007B7CAF" w:rsidRDefault="007B7CAF" w:rsidP="007B7CAF">
      <w:pPr>
        <w:rPr>
          <w:rFonts w:ascii="Verdana" w:hAnsi="Verdana"/>
          <w:sz w:val="18"/>
          <w:szCs w:val="20"/>
        </w:rPr>
      </w:pPr>
      <w:r w:rsidRPr="007B7CAF">
        <w:rPr>
          <w:rFonts w:ascii="Verdana" w:hAnsi="Verdana"/>
          <w:sz w:val="18"/>
          <w:szCs w:val="20"/>
        </w:rPr>
        <w:t>Per devynis šių metų mėnesius sostinėje jau sudaryti 4 7</w:t>
      </w:r>
      <w:r w:rsidR="00226A21">
        <w:rPr>
          <w:rFonts w:ascii="Verdana" w:hAnsi="Verdana"/>
          <w:sz w:val="18"/>
          <w:szCs w:val="20"/>
        </w:rPr>
        <w:t>39</w:t>
      </w:r>
      <w:r w:rsidRPr="007B7CAF">
        <w:rPr>
          <w:rFonts w:ascii="Verdana" w:hAnsi="Verdana"/>
          <w:sz w:val="18"/>
          <w:szCs w:val="20"/>
        </w:rPr>
        <w:t xml:space="preserve"> sandoriai, o tai yra 9</w:t>
      </w:r>
      <w:r w:rsidR="00226A21">
        <w:rPr>
          <w:rFonts w:ascii="Verdana" w:hAnsi="Verdana"/>
          <w:sz w:val="18"/>
          <w:szCs w:val="20"/>
        </w:rPr>
        <w:t>4,5</w:t>
      </w:r>
      <w:r w:rsidRPr="007B7CAF">
        <w:rPr>
          <w:rFonts w:ascii="Verdana" w:hAnsi="Verdana"/>
          <w:sz w:val="18"/>
          <w:szCs w:val="20"/>
        </w:rPr>
        <w:t xml:space="preserve"> proc. daugiau nei per tą patį laikotarpį pernai ir 2</w:t>
      </w:r>
      <w:r w:rsidR="00226A21">
        <w:rPr>
          <w:rFonts w:ascii="Verdana" w:hAnsi="Verdana"/>
          <w:sz w:val="18"/>
          <w:szCs w:val="20"/>
        </w:rPr>
        <w:t>8</w:t>
      </w:r>
      <w:r w:rsidRPr="007B7CAF">
        <w:rPr>
          <w:rFonts w:ascii="Verdana" w:hAnsi="Verdana"/>
          <w:sz w:val="18"/>
          <w:szCs w:val="20"/>
        </w:rPr>
        <w:t>,5 proc. daugiau nei per visus pernai metus.</w:t>
      </w:r>
    </w:p>
    <w:p w14:paraId="01964F45" w14:textId="3DC81372" w:rsidR="007B7CAF" w:rsidRPr="007B7CAF" w:rsidRDefault="007B7CAF" w:rsidP="007B7CAF">
      <w:pPr>
        <w:rPr>
          <w:rFonts w:ascii="Verdana" w:hAnsi="Verdana"/>
          <w:sz w:val="18"/>
          <w:szCs w:val="20"/>
        </w:rPr>
      </w:pPr>
      <w:r w:rsidRPr="007B7CAF">
        <w:rPr>
          <w:rFonts w:ascii="Verdana" w:hAnsi="Verdana"/>
          <w:sz w:val="18"/>
          <w:szCs w:val="20"/>
        </w:rPr>
        <w:t>Aukštyn truktelėjo ir Kauno būsto rinka: per mėnesį sudaryta 11</w:t>
      </w:r>
      <w:r w:rsidR="00226A21">
        <w:rPr>
          <w:rFonts w:ascii="Verdana" w:hAnsi="Verdana"/>
          <w:sz w:val="18"/>
          <w:szCs w:val="20"/>
        </w:rPr>
        <w:t>9</w:t>
      </w:r>
      <w:r w:rsidRPr="007B7CAF">
        <w:rPr>
          <w:rFonts w:ascii="Verdana" w:hAnsi="Verdana"/>
          <w:sz w:val="18"/>
          <w:szCs w:val="20"/>
        </w:rPr>
        <w:t xml:space="preserve"> sandorių, per ketvirtį – 28</w:t>
      </w:r>
      <w:r w:rsidR="00226A21">
        <w:rPr>
          <w:rFonts w:ascii="Verdana" w:hAnsi="Verdana"/>
          <w:sz w:val="18"/>
          <w:szCs w:val="20"/>
        </w:rPr>
        <w:t>6</w:t>
      </w:r>
      <w:r w:rsidRPr="007B7CAF">
        <w:rPr>
          <w:rFonts w:ascii="Verdana" w:hAnsi="Verdana"/>
          <w:sz w:val="18"/>
          <w:szCs w:val="20"/>
        </w:rPr>
        <w:t xml:space="preserve">. Nors skaičiai – penkiskart kuklesni nei Vilniuje, ketvirčio rezultatas Kaune buvo </w:t>
      </w:r>
      <w:r w:rsidR="00967560">
        <w:rPr>
          <w:rFonts w:ascii="Verdana" w:hAnsi="Verdana"/>
          <w:sz w:val="18"/>
          <w:szCs w:val="20"/>
        </w:rPr>
        <w:t>31</w:t>
      </w:r>
      <w:r w:rsidRPr="007B7CAF">
        <w:rPr>
          <w:rFonts w:ascii="Verdana" w:hAnsi="Verdana"/>
          <w:sz w:val="18"/>
          <w:szCs w:val="20"/>
        </w:rPr>
        <w:t xml:space="preserve"> proc. geresnis nei II ketv. ir 4</w:t>
      </w:r>
      <w:r w:rsidR="00226A21">
        <w:rPr>
          <w:rFonts w:ascii="Verdana" w:hAnsi="Verdana"/>
          <w:sz w:val="18"/>
          <w:szCs w:val="20"/>
        </w:rPr>
        <w:t>9</w:t>
      </w:r>
      <w:r w:rsidRPr="007B7CAF">
        <w:rPr>
          <w:rFonts w:ascii="Verdana" w:hAnsi="Verdana"/>
          <w:sz w:val="18"/>
          <w:szCs w:val="20"/>
        </w:rPr>
        <w:t xml:space="preserve"> proc. geresnis nei liepos–rugsėjo mėn. pernai. Visų trijų ketvirčių sandorių skaičius laikinojoje sostinėje</w:t>
      </w:r>
      <w:r w:rsidR="00226A21">
        <w:rPr>
          <w:rFonts w:ascii="Verdana" w:hAnsi="Verdana"/>
          <w:sz w:val="18"/>
          <w:szCs w:val="20"/>
        </w:rPr>
        <w:t xml:space="preserve"> (933)</w:t>
      </w:r>
      <w:r w:rsidRPr="007B7CAF">
        <w:rPr>
          <w:rFonts w:ascii="Verdana" w:hAnsi="Verdana"/>
          <w:sz w:val="18"/>
          <w:szCs w:val="20"/>
        </w:rPr>
        <w:t xml:space="preserve"> 56</w:t>
      </w:r>
      <w:r w:rsidR="00226A21">
        <w:rPr>
          <w:rFonts w:ascii="Verdana" w:hAnsi="Verdana"/>
          <w:sz w:val="18"/>
          <w:szCs w:val="20"/>
        </w:rPr>
        <w:t>,5</w:t>
      </w:r>
      <w:r w:rsidRPr="007B7CAF">
        <w:rPr>
          <w:rFonts w:ascii="Verdana" w:hAnsi="Verdana"/>
          <w:sz w:val="18"/>
          <w:szCs w:val="20"/>
        </w:rPr>
        <w:t xml:space="preserve"> proc. viršijo to paties 2024 m. laikotarpį ir jau 18 proc. – visų metų rezultatą.</w:t>
      </w:r>
    </w:p>
    <w:p w14:paraId="7E6BB0A7" w14:textId="77777777" w:rsidR="007B7CAF" w:rsidRPr="007B7CAF" w:rsidRDefault="007B7CAF" w:rsidP="007B7CAF">
      <w:pPr>
        <w:rPr>
          <w:rFonts w:ascii="Verdana" w:hAnsi="Verdana"/>
          <w:sz w:val="18"/>
          <w:szCs w:val="20"/>
        </w:rPr>
      </w:pPr>
      <w:r w:rsidRPr="007B7CAF">
        <w:rPr>
          <w:rFonts w:ascii="Verdana" w:hAnsi="Verdana"/>
          <w:sz w:val="18"/>
          <w:szCs w:val="20"/>
        </w:rPr>
        <w:t>„Kad šie metai yra būsto rinkos atsigavimo metai, kartoti nebereikia. Tačiau šiųmetinių rezultatų pastovumas, ypač Vilniuje rodo, kad net sezoniškumas gali neveikti. Lietuvoje yra susiformavęs struktūrinis būsto poreikis, sukurtas augančio miesto, augančio pragyvenimo lygio, užsitęsusio rinkos sąstingio ir, galų gale, lietuvių siekio turėti nuosavą būstą – tai formuoja ilgalaikę paklausą“, – sako „Citus“ NT analitikė Ugnė Žiogelė.</w:t>
      </w:r>
    </w:p>
    <w:p w14:paraId="0464E56B" w14:textId="77777777" w:rsidR="007B7CAF" w:rsidRPr="007B7CAF" w:rsidRDefault="007B7CAF" w:rsidP="007B7CAF">
      <w:pPr>
        <w:rPr>
          <w:rFonts w:ascii="Verdana" w:hAnsi="Verdana"/>
          <w:sz w:val="18"/>
          <w:szCs w:val="20"/>
        </w:rPr>
      </w:pPr>
      <w:r w:rsidRPr="007B7CAF">
        <w:rPr>
          <w:rFonts w:ascii="Verdana" w:hAnsi="Verdana"/>
          <w:sz w:val="18"/>
          <w:szCs w:val="20"/>
        </w:rPr>
        <w:t>Klaipėdoje trečiasis šių metų ketvirtis baigėsi be fanfarų: po labai aktyvių, net Kauno rezultatus lenkusių vasaros mėnesių rinka kiek aprimo – fiksuoti 44 sandoriai (rugpjūtį – 80). Tačiau ketvirčio paklausa (242 sandoriai) – geriausias per pastaruosius penkerius metus, o gal net uostamiesčio būsto rinkos istorijoje. II ketv. registruoti 73 sandoriai, 2024 m. III ketv. – 110. Šiemet sausio–rugsėjo mėnesį Klaipėdoje fiksuoti net 463 pardavimai, o pernai tuo pačiu laikotarpiu – 196, net 2,4 karto mažiau (per visus 2024 m. – 271).</w:t>
      </w:r>
    </w:p>
    <w:p w14:paraId="2DC1E45B" w14:textId="77777777" w:rsidR="007B7CAF" w:rsidRPr="007B7CAF" w:rsidRDefault="007B7CAF" w:rsidP="007B7CAF">
      <w:pPr>
        <w:rPr>
          <w:rFonts w:ascii="Verdana" w:hAnsi="Verdana"/>
          <w:sz w:val="18"/>
          <w:szCs w:val="20"/>
        </w:rPr>
      </w:pPr>
      <w:r w:rsidRPr="007B7CAF">
        <w:rPr>
          <w:rFonts w:ascii="Verdana" w:hAnsi="Verdana"/>
          <w:sz w:val="18"/>
          <w:szCs w:val="20"/>
        </w:rPr>
        <w:t>„Šiemet didesniu aktyvumu išsiskiria Klaipėda. Pastaruosius kelis metus šio miesto pirminėje rinkoje per mėnesį įprastai buvo sudaroma 20–30 sandorių. Šiemet vidutinis sandorių skaičius siekia 51 – maždaug dvigubai daugiau negu praėjusiais metais. Tokį aktyvumą lėmė ne tik išaugęs įperkamumas, bet ir gausiau pasipildžiusi, kokybiškesnė pasiūla“, – pabrėžia „Citus“ ekspertė.</w:t>
      </w:r>
    </w:p>
    <w:p w14:paraId="02625087" w14:textId="77777777" w:rsidR="007B7CAF" w:rsidRPr="007B7CAF" w:rsidRDefault="007B7CAF" w:rsidP="007B7CAF">
      <w:pPr>
        <w:rPr>
          <w:rFonts w:ascii="Verdana" w:hAnsi="Verdana"/>
          <w:b/>
          <w:bCs/>
          <w:sz w:val="18"/>
          <w:szCs w:val="20"/>
        </w:rPr>
      </w:pPr>
      <w:r w:rsidRPr="007B7CAF">
        <w:rPr>
          <w:rFonts w:ascii="Verdana" w:hAnsi="Verdana"/>
          <w:b/>
          <w:bCs/>
          <w:sz w:val="18"/>
          <w:szCs w:val="20"/>
        </w:rPr>
        <w:t>Pasiūla: trapumas Vilniuje, nepakankamumas Kaune ir disbalansas Klaipėdoje</w:t>
      </w:r>
    </w:p>
    <w:p w14:paraId="10B7F9E0" w14:textId="76613598" w:rsidR="007B7CAF" w:rsidRPr="007B7CAF" w:rsidRDefault="007B7CAF" w:rsidP="007B7CAF">
      <w:pPr>
        <w:rPr>
          <w:rFonts w:ascii="Verdana" w:hAnsi="Verdana"/>
          <w:sz w:val="18"/>
          <w:szCs w:val="20"/>
        </w:rPr>
      </w:pPr>
      <w:r w:rsidRPr="007B7CAF">
        <w:rPr>
          <w:rFonts w:ascii="Verdana" w:hAnsi="Verdana"/>
          <w:sz w:val="18"/>
          <w:szCs w:val="20"/>
        </w:rPr>
        <w:t>Praėjusį mėnesį Vilniuje naujų būstų pasiūla siekė 5 5</w:t>
      </w:r>
      <w:r w:rsidR="00226A21">
        <w:rPr>
          <w:rFonts w:ascii="Verdana" w:hAnsi="Verdana"/>
          <w:sz w:val="18"/>
          <w:szCs w:val="20"/>
        </w:rPr>
        <w:t>41</w:t>
      </w:r>
      <w:r w:rsidRPr="007B7CAF">
        <w:rPr>
          <w:rFonts w:ascii="Verdana" w:hAnsi="Verdana"/>
          <w:sz w:val="18"/>
          <w:szCs w:val="20"/>
        </w:rPr>
        <w:t xml:space="preserve"> vnt. Tai buvo 2,</w:t>
      </w:r>
      <w:r w:rsidR="00226A21">
        <w:rPr>
          <w:rFonts w:ascii="Verdana" w:hAnsi="Verdana"/>
          <w:sz w:val="18"/>
          <w:szCs w:val="20"/>
        </w:rPr>
        <w:t>5</w:t>
      </w:r>
      <w:r w:rsidRPr="007B7CAF">
        <w:rPr>
          <w:rFonts w:ascii="Verdana" w:hAnsi="Verdana"/>
          <w:sz w:val="18"/>
          <w:szCs w:val="20"/>
        </w:rPr>
        <w:t xml:space="preserve"> proc. mažiau nei mėnesiu anksčiau – būsto „sandėlis“ sostinėje mažėjo keturis mėnesius iš eilės. Nedaug didesnis jis buvo ir pačioje praėjusių metų pabaigoje (5 342) ir prieš metus (5 350), tačiau, ekspertės teigimu, jis šiuo metu yra subalansuotas ir pakankamas, o pagal segmentus pasiūla atitinka paklausą, tačiau situacija yra gan jautri.</w:t>
      </w:r>
    </w:p>
    <w:p w14:paraId="7CF9CE01" w14:textId="724A977C" w:rsidR="007B7CAF" w:rsidRPr="007B7CAF" w:rsidRDefault="007B7CAF" w:rsidP="007B7CAF">
      <w:pPr>
        <w:rPr>
          <w:rFonts w:ascii="Verdana" w:hAnsi="Verdana"/>
          <w:sz w:val="18"/>
          <w:szCs w:val="20"/>
        </w:rPr>
      </w:pPr>
      <w:r w:rsidRPr="007B7CAF">
        <w:rPr>
          <w:rFonts w:ascii="Verdana" w:hAnsi="Verdana"/>
          <w:sz w:val="18"/>
          <w:szCs w:val="20"/>
        </w:rPr>
        <w:t>„Iš vienos pusės, pasiūlos augimas yra pakankamas: per šiuos metus rinkai „patiekti“ 4 8</w:t>
      </w:r>
      <w:r w:rsidR="00226A21">
        <w:rPr>
          <w:rFonts w:ascii="Verdana" w:hAnsi="Verdana"/>
          <w:sz w:val="18"/>
          <w:szCs w:val="20"/>
        </w:rPr>
        <w:t>38</w:t>
      </w:r>
      <w:r w:rsidRPr="007B7CAF">
        <w:rPr>
          <w:rFonts w:ascii="Verdana" w:hAnsi="Verdana"/>
          <w:sz w:val="18"/>
          <w:szCs w:val="20"/>
        </w:rPr>
        <w:t xml:space="preserve"> būstų (rugsėjį – 3</w:t>
      </w:r>
      <w:r w:rsidR="00226A21">
        <w:rPr>
          <w:rFonts w:ascii="Verdana" w:hAnsi="Verdana"/>
          <w:sz w:val="18"/>
          <w:szCs w:val="20"/>
        </w:rPr>
        <w:t>99</w:t>
      </w:r>
      <w:r w:rsidRPr="007B7CAF">
        <w:rPr>
          <w:rFonts w:ascii="Verdana" w:hAnsi="Verdana"/>
          <w:sz w:val="18"/>
          <w:szCs w:val="20"/>
        </w:rPr>
        <w:t>) – vidutiniškai po 53</w:t>
      </w:r>
      <w:r w:rsidR="00226A21">
        <w:rPr>
          <w:rFonts w:ascii="Verdana" w:hAnsi="Verdana"/>
          <w:sz w:val="18"/>
          <w:szCs w:val="20"/>
        </w:rPr>
        <w:t>8</w:t>
      </w:r>
      <w:r w:rsidRPr="007B7CAF">
        <w:rPr>
          <w:rFonts w:ascii="Verdana" w:hAnsi="Verdana"/>
          <w:sz w:val="18"/>
          <w:szCs w:val="20"/>
        </w:rPr>
        <w:t xml:space="preserve"> per mėnesį. Tai atspindi esamą poreikį ir nėra spekuliatyvus statybų bumas, pasiūla auga organiškai, o ne eksponentiškai. Tačiau ji ir nesikaupia: esami pardavimų tempai yra vieni didžiausių per pastaruosius metus, todėl nauja pasiūla efektyviai absorbuojama, o ne </w:t>
      </w:r>
      <w:r w:rsidR="00AD58D8">
        <w:rPr>
          <w:rFonts w:ascii="Verdana" w:hAnsi="Verdana"/>
          <w:sz w:val="18"/>
          <w:szCs w:val="20"/>
        </w:rPr>
        <w:t>akumuliuojasi</w:t>
      </w:r>
      <w:r w:rsidRPr="007B7CAF">
        <w:rPr>
          <w:rFonts w:ascii="Verdana" w:hAnsi="Verdana"/>
          <w:sz w:val="18"/>
          <w:szCs w:val="20"/>
        </w:rPr>
        <w:t>“, – pažymi U. Žiogelė. Sostinėje vidutinis mėnesinis asortimento prieaugis tėra 2 proc. didesnis už vidutinę mėnesinę paklausą.</w:t>
      </w:r>
    </w:p>
    <w:p w14:paraId="16610616" w14:textId="7E713CED" w:rsidR="007B7CAF" w:rsidRPr="007B7CAF" w:rsidRDefault="007B7CAF" w:rsidP="007B7CAF">
      <w:pPr>
        <w:rPr>
          <w:rFonts w:ascii="Verdana" w:hAnsi="Verdana"/>
          <w:sz w:val="18"/>
          <w:szCs w:val="20"/>
        </w:rPr>
      </w:pPr>
      <w:r w:rsidRPr="007B7CAF">
        <w:rPr>
          <w:rFonts w:ascii="Verdana" w:hAnsi="Verdana"/>
          <w:sz w:val="18"/>
          <w:szCs w:val="20"/>
        </w:rPr>
        <w:t>Kaune rugsėjis užsibaigė fiksuojant 1 26</w:t>
      </w:r>
      <w:r w:rsidR="00226A21">
        <w:rPr>
          <w:rFonts w:ascii="Verdana" w:hAnsi="Verdana"/>
          <w:sz w:val="18"/>
          <w:szCs w:val="20"/>
        </w:rPr>
        <w:t>1</w:t>
      </w:r>
      <w:r w:rsidRPr="007B7CAF">
        <w:rPr>
          <w:rFonts w:ascii="Verdana" w:hAnsi="Verdana"/>
          <w:sz w:val="18"/>
          <w:szCs w:val="20"/>
        </w:rPr>
        <w:t xml:space="preserve"> būst</w:t>
      </w:r>
      <w:r w:rsidR="00226A21">
        <w:rPr>
          <w:rFonts w:ascii="Verdana" w:hAnsi="Verdana"/>
          <w:sz w:val="18"/>
          <w:szCs w:val="20"/>
        </w:rPr>
        <w:t>o</w:t>
      </w:r>
      <w:r w:rsidRPr="007B7CAF">
        <w:rPr>
          <w:rFonts w:ascii="Verdana" w:hAnsi="Verdana"/>
          <w:sz w:val="18"/>
          <w:szCs w:val="20"/>
        </w:rPr>
        <w:t xml:space="preserve"> asortimentą. Pasiūla šiame mieste per mėnesį sumažėjo 1</w:t>
      </w:r>
      <w:r w:rsidR="00226A21">
        <w:rPr>
          <w:rFonts w:ascii="Verdana" w:hAnsi="Verdana"/>
          <w:sz w:val="18"/>
          <w:szCs w:val="20"/>
        </w:rPr>
        <w:t>,33</w:t>
      </w:r>
      <w:r w:rsidRPr="007B7CAF">
        <w:rPr>
          <w:rFonts w:ascii="Verdana" w:hAnsi="Verdana"/>
          <w:sz w:val="18"/>
          <w:szCs w:val="20"/>
        </w:rPr>
        <w:t xml:space="preserve"> proc., tačiau per metus išaugo 13,</w:t>
      </w:r>
      <w:r w:rsidR="00226A21">
        <w:rPr>
          <w:rFonts w:ascii="Verdana" w:hAnsi="Verdana"/>
          <w:sz w:val="18"/>
          <w:szCs w:val="20"/>
        </w:rPr>
        <w:t>2</w:t>
      </w:r>
      <w:r w:rsidRPr="007B7CAF">
        <w:rPr>
          <w:rFonts w:ascii="Verdana" w:hAnsi="Verdana"/>
          <w:sz w:val="18"/>
          <w:szCs w:val="20"/>
        </w:rPr>
        <w:t xml:space="preserve"> proc., o nuo metų pradžios – net 28,</w:t>
      </w:r>
      <w:r w:rsidR="00226A21">
        <w:rPr>
          <w:rFonts w:ascii="Verdana" w:hAnsi="Verdana"/>
          <w:sz w:val="18"/>
          <w:szCs w:val="20"/>
        </w:rPr>
        <w:t>2</w:t>
      </w:r>
      <w:r w:rsidRPr="007B7CAF">
        <w:rPr>
          <w:rFonts w:ascii="Verdana" w:hAnsi="Verdana"/>
          <w:sz w:val="18"/>
          <w:szCs w:val="20"/>
        </w:rPr>
        <w:t xml:space="preserve"> proc. Visgi, akcentuoja „Citus“ analitikė, Kaune ypač ryškus disbalansas: jaučiamas didelis įperkamiausio (iki 100 000–120 000 Eur) ir kokybiško, aukštus standartus atrinkančio vidutinės klasės būsto, kurio paklausa dar ir gerokai viršija pasiūlą (</w:t>
      </w:r>
      <w:r w:rsidR="00226A21">
        <w:rPr>
          <w:rFonts w:ascii="Verdana" w:hAnsi="Verdana"/>
          <w:sz w:val="18"/>
          <w:szCs w:val="20"/>
        </w:rPr>
        <w:t xml:space="preserve">vidutiniškai </w:t>
      </w:r>
      <w:r w:rsidRPr="007B7CAF">
        <w:rPr>
          <w:rFonts w:ascii="Verdana" w:hAnsi="Verdana"/>
          <w:sz w:val="18"/>
          <w:szCs w:val="20"/>
        </w:rPr>
        <w:t>38 proc. vs. 24 proc.) trūkumas. Taip pat, pasak ekspertės, Kaune vis dar nepakankama būsto įvairovė, nežiūrint to, kad vidutinis mėnesinis asortimento papildymas yra 30 proc. didesnis už vidutinę mėnesinę paklausą.</w:t>
      </w:r>
    </w:p>
    <w:p w14:paraId="233327ED" w14:textId="4AEA74A8" w:rsidR="007B7CAF" w:rsidRDefault="007B7CAF" w:rsidP="007B7CAF">
      <w:pPr>
        <w:rPr>
          <w:rFonts w:ascii="Verdana" w:hAnsi="Verdana"/>
          <w:sz w:val="18"/>
          <w:szCs w:val="20"/>
        </w:rPr>
      </w:pPr>
      <w:r w:rsidRPr="007B7CAF">
        <w:rPr>
          <w:rFonts w:ascii="Verdana" w:hAnsi="Verdana"/>
          <w:sz w:val="18"/>
          <w:szCs w:val="20"/>
        </w:rPr>
        <w:t>Klaipėdoje – dar kita situacija. Per mėnesį uostamiestyje pasiūla susitraukė 5,6 proc. (paskutinį mėnesį naujų projektų rinkoje nepasirodė) iki 695 naujų būstų, nors nuo metų pradžios augo 41,</w:t>
      </w:r>
      <w:r w:rsidR="00967560">
        <w:rPr>
          <w:rFonts w:ascii="Verdana" w:hAnsi="Verdana"/>
          <w:sz w:val="18"/>
          <w:szCs w:val="20"/>
        </w:rPr>
        <w:t>8</w:t>
      </w:r>
      <w:r w:rsidRPr="007B7CAF">
        <w:rPr>
          <w:rFonts w:ascii="Verdana" w:hAnsi="Verdana"/>
          <w:sz w:val="18"/>
          <w:szCs w:val="20"/>
        </w:rPr>
        <w:t>, o per metus – 35,5 proc. Visgi, trečiajame pagal dydį šalies mieste pasiūla, panašu, neblogai atitinka pirkėjų poreikius – paklausa čia išaugusi. Labiau pasiūlos struktūros pokytis metų pradžioje „suvėlė“ kainas, kurios pralenkė Kauną.</w:t>
      </w:r>
    </w:p>
    <w:p w14:paraId="51458595" w14:textId="231A47B7" w:rsidR="00226A21" w:rsidRPr="007B7CAF" w:rsidRDefault="00226A21" w:rsidP="007B7CAF">
      <w:pPr>
        <w:rPr>
          <w:rFonts w:ascii="Verdana" w:hAnsi="Verdana"/>
          <w:sz w:val="18"/>
          <w:szCs w:val="20"/>
        </w:rPr>
      </w:pPr>
      <w:r>
        <w:rPr>
          <w:rFonts w:ascii="Verdana" w:hAnsi="Verdana"/>
          <w:sz w:val="18"/>
          <w:szCs w:val="20"/>
        </w:rPr>
        <w:t>„Citus“ analitikai vertina, kad visuose miestuose apie 20 proc. sudaro nelikvidi pasiūla – būstai, pirkėjų nesulaukiantys jau 24 mėn. ir ilgiau.</w:t>
      </w:r>
    </w:p>
    <w:p w14:paraId="7C8F6FD5" w14:textId="77777777" w:rsidR="007B7CAF" w:rsidRPr="007B7CAF" w:rsidRDefault="007B7CAF" w:rsidP="007B7CAF">
      <w:pPr>
        <w:rPr>
          <w:rFonts w:ascii="Verdana" w:hAnsi="Verdana"/>
          <w:b/>
          <w:bCs/>
          <w:sz w:val="18"/>
          <w:szCs w:val="20"/>
        </w:rPr>
      </w:pPr>
      <w:r w:rsidRPr="007B7CAF">
        <w:rPr>
          <w:rFonts w:ascii="Verdana" w:hAnsi="Verdana"/>
          <w:b/>
          <w:bCs/>
          <w:sz w:val="18"/>
          <w:szCs w:val="20"/>
        </w:rPr>
        <w:t>Kainos – stabilios vertinant kas mėnesį, bet nuo metų pradžios spurtavusios</w:t>
      </w:r>
    </w:p>
    <w:p w14:paraId="25C23C2F" w14:textId="77777777" w:rsidR="007B7CAF" w:rsidRPr="007B7CAF" w:rsidRDefault="007B7CAF" w:rsidP="007B7CAF">
      <w:pPr>
        <w:rPr>
          <w:rFonts w:ascii="Verdana" w:hAnsi="Verdana"/>
          <w:sz w:val="18"/>
          <w:szCs w:val="20"/>
        </w:rPr>
      </w:pPr>
      <w:r w:rsidRPr="007B7CAF">
        <w:rPr>
          <w:rFonts w:ascii="Verdana" w:hAnsi="Verdana"/>
          <w:sz w:val="18"/>
          <w:szCs w:val="20"/>
        </w:rPr>
        <w:t>„Sandorių skaičius pastarąjį ketvirtį visuose miestuose yra aukštas, vidutinė pasiūloje esančių butų kv. m kaina išlaikė stabilų augimą, rodantį, kad paklausa aukštesniame kainų lygyje išlieka tvari. Tai signalizuoja, kad kainos jau nebereaguoja į trumpalaikius paklausos svyravimus ir rinka yra brandesnė“, – situaciją apibendrina „Citus“ analitikė.</w:t>
      </w:r>
    </w:p>
    <w:p w14:paraId="278BB004" w14:textId="133F5751" w:rsidR="007B7CAF" w:rsidRPr="007B7CAF" w:rsidRDefault="007B7CAF" w:rsidP="007B7CAF">
      <w:pPr>
        <w:rPr>
          <w:rFonts w:ascii="Verdana" w:hAnsi="Verdana"/>
          <w:sz w:val="18"/>
          <w:szCs w:val="20"/>
        </w:rPr>
      </w:pPr>
      <w:r w:rsidRPr="007B7CAF">
        <w:rPr>
          <w:rFonts w:ascii="Verdana" w:hAnsi="Verdana"/>
          <w:sz w:val="18"/>
          <w:szCs w:val="20"/>
        </w:rPr>
        <w:t>Sostinėje per mėnesį vidutinės pasiūloje esančių butų kainos padidėjo vos 0,</w:t>
      </w:r>
      <w:r w:rsidR="00456700">
        <w:rPr>
          <w:rFonts w:ascii="Verdana" w:hAnsi="Verdana"/>
          <w:sz w:val="18"/>
          <w:szCs w:val="20"/>
        </w:rPr>
        <w:t>4</w:t>
      </w:r>
      <w:r w:rsidR="00967560">
        <w:rPr>
          <w:rFonts w:ascii="Verdana" w:hAnsi="Verdana"/>
          <w:sz w:val="18"/>
          <w:szCs w:val="20"/>
        </w:rPr>
        <w:t>3</w:t>
      </w:r>
      <w:r w:rsidRPr="007B7CAF">
        <w:rPr>
          <w:rFonts w:ascii="Verdana" w:hAnsi="Verdana"/>
          <w:sz w:val="18"/>
          <w:szCs w:val="20"/>
        </w:rPr>
        <w:t xml:space="preserve"> proc., iki 3</w:t>
      </w:r>
      <w:r w:rsidR="00456700">
        <w:rPr>
          <w:rFonts w:ascii="Verdana" w:hAnsi="Verdana"/>
          <w:sz w:val="18"/>
          <w:szCs w:val="20"/>
        </w:rPr>
        <w:t> </w:t>
      </w:r>
      <w:r w:rsidRPr="007B7CAF">
        <w:rPr>
          <w:rFonts w:ascii="Verdana" w:hAnsi="Verdana"/>
          <w:sz w:val="18"/>
          <w:szCs w:val="20"/>
        </w:rPr>
        <w:t>81</w:t>
      </w:r>
      <w:r w:rsidR="00456700">
        <w:rPr>
          <w:rFonts w:ascii="Verdana" w:hAnsi="Verdana"/>
          <w:sz w:val="18"/>
          <w:szCs w:val="20"/>
        </w:rPr>
        <w:t>2,5</w:t>
      </w:r>
      <w:r w:rsidRPr="007B7CAF">
        <w:rPr>
          <w:rFonts w:ascii="Verdana" w:hAnsi="Verdana"/>
          <w:sz w:val="18"/>
          <w:szCs w:val="20"/>
        </w:rPr>
        <w:t xml:space="preserve"> Eur/kv. m. Visgi, nuo metų pradžios jų prieaugis siekė 9,</w:t>
      </w:r>
      <w:r w:rsidR="00456700">
        <w:rPr>
          <w:rFonts w:ascii="Verdana" w:hAnsi="Verdana"/>
          <w:sz w:val="18"/>
          <w:szCs w:val="20"/>
        </w:rPr>
        <w:t>81</w:t>
      </w:r>
      <w:r w:rsidRPr="007B7CAF">
        <w:rPr>
          <w:rFonts w:ascii="Verdana" w:hAnsi="Verdana"/>
          <w:sz w:val="18"/>
          <w:szCs w:val="20"/>
        </w:rPr>
        <w:t xml:space="preserve"> proc., o nuo praėjusių metų rugsėjo pabaigos – 12,</w:t>
      </w:r>
      <w:r w:rsidR="00456700">
        <w:rPr>
          <w:rFonts w:ascii="Verdana" w:hAnsi="Verdana"/>
          <w:sz w:val="18"/>
          <w:szCs w:val="20"/>
        </w:rPr>
        <w:t>63</w:t>
      </w:r>
      <w:r w:rsidRPr="007B7CAF">
        <w:rPr>
          <w:rFonts w:ascii="Verdana" w:hAnsi="Verdana"/>
          <w:sz w:val="18"/>
          <w:szCs w:val="20"/>
        </w:rPr>
        <w:t xml:space="preserve"> proc. Ekspertės teigimu, pastaruoju metu rinka veikia ne deficito, o „sportiniu“ režimu: kainas kelia ne trūkumas, o nuolatinis didelės paklausos spaudimas gana didelei, bet lėtai besibalansuojančiai pasiūlai.</w:t>
      </w:r>
    </w:p>
    <w:p w14:paraId="34EC543C" w14:textId="7C2FFC5C" w:rsidR="007B7CAF" w:rsidRPr="007B7CAF" w:rsidRDefault="007B7CAF" w:rsidP="007B7CAF">
      <w:pPr>
        <w:rPr>
          <w:rFonts w:ascii="Verdana" w:hAnsi="Verdana"/>
          <w:sz w:val="18"/>
          <w:szCs w:val="20"/>
        </w:rPr>
      </w:pPr>
      <w:r w:rsidRPr="007B7CAF">
        <w:rPr>
          <w:rFonts w:ascii="Verdana" w:hAnsi="Verdana"/>
          <w:sz w:val="18"/>
          <w:szCs w:val="20"/>
        </w:rPr>
        <w:lastRenderedPageBreak/>
        <w:t>Pasak „Citus“ analitikės, dabartinėje situacijoje realus scenarijus yra kainų augimo lėtėjimas ir stabilizacija: pastaruosius keturis mėnesius sostinėje jos didėjo vidutiniškai po 0,2</w:t>
      </w:r>
      <w:r w:rsidR="00456700">
        <w:rPr>
          <w:rFonts w:ascii="Verdana" w:hAnsi="Verdana"/>
          <w:sz w:val="18"/>
          <w:szCs w:val="20"/>
        </w:rPr>
        <w:t>7</w:t>
      </w:r>
      <w:r w:rsidRPr="007B7CAF">
        <w:rPr>
          <w:rFonts w:ascii="Verdana" w:hAnsi="Verdana"/>
          <w:sz w:val="18"/>
          <w:szCs w:val="20"/>
        </w:rPr>
        <w:t xml:space="preserve"> proc., o per visus šiuos metus – vidutiniškai apie 1 proc.</w:t>
      </w:r>
    </w:p>
    <w:p w14:paraId="69683FE9" w14:textId="77777777" w:rsidR="007B7CAF" w:rsidRPr="007B7CAF" w:rsidRDefault="007B7CAF" w:rsidP="007B7CAF">
      <w:pPr>
        <w:rPr>
          <w:rFonts w:ascii="Verdana" w:hAnsi="Verdana"/>
          <w:sz w:val="18"/>
          <w:szCs w:val="20"/>
        </w:rPr>
      </w:pPr>
      <w:r w:rsidRPr="007B7CAF">
        <w:rPr>
          <w:rFonts w:ascii="Verdana" w:hAnsi="Verdana"/>
          <w:sz w:val="18"/>
          <w:szCs w:val="20"/>
        </w:rPr>
        <w:t>Visgi, ekspertės teigimu, kainų augimo potencialas kyla iš to, kad šis pasiūlos bei paklausos pusiausvyros būvis yra labai trapus: jei ekonominė situacija ir toliau bus tvari, o paklausa išliks aukšta, bet koks nedidelis naujos pasiūlos sulėtėjimas gali truktelėti kainas aukštyn. Esamas didelis likutis yra apgaulingas – jis nuolat „superkamas“, ypač tai galioja vidutinio segmento būstams.</w:t>
      </w:r>
    </w:p>
    <w:p w14:paraId="5F68BDBC" w14:textId="33040B52" w:rsidR="007B7CAF" w:rsidRPr="007B7CAF" w:rsidRDefault="007B7CAF" w:rsidP="007B7CAF">
      <w:pPr>
        <w:rPr>
          <w:rFonts w:ascii="Verdana" w:hAnsi="Verdana"/>
          <w:sz w:val="18"/>
          <w:szCs w:val="20"/>
        </w:rPr>
      </w:pPr>
      <w:r w:rsidRPr="007B7CAF">
        <w:rPr>
          <w:rFonts w:ascii="Verdana" w:hAnsi="Verdana"/>
          <w:sz w:val="18"/>
          <w:szCs w:val="20"/>
        </w:rPr>
        <w:t xml:space="preserve">Kaune mėnesinis kainų augimas taip pat buvo </w:t>
      </w:r>
      <w:r w:rsidR="00456700">
        <w:rPr>
          <w:rFonts w:ascii="Verdana" w:hAnsi="Verdana"/>
          <w:sz w:val="18"/>
          <w:szCs w:val="20"/>
        </w:rPr>
        <w:t>ne</w:t>
      </w:r>
      <w:r w:rsidRPr="007B7CAF">
        <w:rPr>
          <w:rFonts w:ascii="Verdana" w:hAnsi="Verdana"/>
          <w:sz w:val="18"/>
          <w:szCs w:val="20"/>
        </w:rPr>
        <w:t>ryškus – 0,</w:t>
      </w:r>
      <w:r w:rsidR="00456700">
        <w:rPr>
          <w:rFonts w:ascii="Verdana" w:hAnsi="Verdana"/>
          <w:sz w:val="18"/>
          <w:szCs w:val="20"/>
        </w:rPr>
        <w:t>39</w:t>
      </w:r>
      <w:r w:rsidRPr="007B7CAF">
        <w:rPr>
          <w:rFonts w:ascii="Verdana" w:hAnsi="Verdana"/>
          <w:sz w:val="18"/>
          <w:szCs w:val="20"/>
        </w:rPr>
        <w:t xml:space="preserve"> proc., iki 3 0</w:t>
      </w:r>
      <w:r w:rsidR="00456700">
        <w:rPr>
          <w:rFonts w:ascii="Verdana" w:hAnsi="Verdana"/>
          <w:sz w:val="18"/>
          <w:szCs w:val="20"/>
        </w:rPr>
        <w:t>07</w:t>
      </w:r>
      <w:r w:rsidRPr="007B7CAF">
        <w:rPr>
          <w:rFonts w:ascii="Verdana" w:hAnsi="Verdana"/>
          <w:sz w:val="18"/>
          <w:szCs w:val="20"/>
        </w:rPr>
        <w:t xml:space="preserve"> Eur/kv. m. Per devynis mėnesius jos pasikeitė 6,</w:t>
      </w:r>
      <w:r w:rsidR="00456700">
        <w:rPr>
          <w:rFonts w:ascii="Verdana" w:hAnsi="Verdana"/>
          <w:sz w:val="18"/>
          <w:szCs w:val="20"/>
        </w:rPr>
        <w:t>45</w:t>
      </w:r>
      <w:r w:rsidRPr="007B7CAF">
        <w:rPr>
          <w:rFonts w:ascii="Verdana" w:hAnsi="Verdana"/>
          <w:sz w:val="18"/>
          <w:szCs w:val="20"/>
        </w:rPr>
        <w:t xml:space="preserve"> proc., per dvylika – 7,</w:t>
      </w:r>
      <w:r w:rsidR="00456700">
        <w:rPr>
          <w:rFonts w:ascii="Verdana" w:hAnsi="Verdana"/>
          <w:sz w:val="18"/>
          <w:szCs w:val="20"/>
        </w:rPr>
        <w:t>56</w:t>
      </w:r>
      <w:r w:rsidRPr="007B7CAF">
        <w:rPr>
          <w:rFonts w:ascii="Verdana" w:hAnsi="Verdana"/>
          <w:sz w:val="18"/>
          <w:szCs w:val="20"/>
        </w:rPr>
        <w:t xml:space="preserve"> proc. Klaipėdoje, atitinkamai, mėnesinis pokytis sudarė 0,83 proc., nuo metų pradžios – 34,12 proc., metinis – 37,85 proc. Rugsėjo gale vidutinės pasiūloje esančių būtų kainos Klaipėdoje siekė 3 128 Eur/kv. m ir vis dar buvo vidutiniškai gerokai aukštesnės dėl didelės dalies asortimente esančių prestižinio segmento būstų.</w:t>
      </w:r>
    </w:p>
    <w:p w14:paraId="5043CB4F" w14:textId="77777777" w:rsidR="007B7CAF" w:rsidRPr="007B7CAF" w:rsidRDefault="007B7CAF" w:rsidP="007B7CAF">
      <w:pPr>
        <w:rPr>
          <w:rFonts w:ascii="Verdana" w:hAnsi="Verdana"/>
          <w:b/>
          <w:bCs/>
          <w:sz w:val="18"/>
          <w:szCs w:val="20"/>
        </w:rPr>
      </w:pPr>
      <w:r w:rsidRPr="007B7CAF">
        <w:rPr>
          <w:rFonts w:ascii="Verdana" w:hAnsi="Verdana"/>
          <w:b/>
          <w:bCs/>
          <w:sz w:val="18"/>
          <w:szCs w:val="20"/>
        </w:rPr>
        <w:t>Rinkos balansas – kieno rankose derybinės galios?</w:t>
      </w:r>
    </w:p>
    <w:p w14:paraId="53DB72C2" w14:textId="77777777" w:rsidR="007B7CAF" w:rsidRPr="007B7CAF" w:rsidRDefault="007B7CAF" w:rsidP="007B7CAF">
      <w:pPr>
        <w:rPr>
          <w:rFonts w:ascii="Verdana" w:hAnsi="Verdana"/>
          <w:sz w:val="18"/>
          <w:szCs w:val="20"/>
        </w:rPr>
      </w:pPr>
      <w:r w:rsidRPr="007B7CAF">
        <w:rPr>
          <w:rFonts w:ascii="Verdana" w:hAnsi="Verdana"/>
          <w:sz w:val="18"/>
          <w:szCs w:val="20"/>
        </w:rPr>
        <w:t>„Citus“ analitikai vertina ir rinkos balansą: paklausos ir pasiūlos santykį bei pasiūlos pokytį per laiką, kuris derybinės galios būsto rinkoje svarstykles gali nusverti į pirkėjų arba pardavėjų pusę.</w:t>
      </w:r>
    </w:p>
    <w:p w14:paraId="24CE6D3F" w14:textId="77777777" w:rsidR="007B7CAF" w:rsidRPr="007B7CAF" w:rsidRDefault="007B7CAF" w:rsidP="007B7CAF">
      <w:pPr>
        <w:rPr>
          <w:rFonts w:ascii="Verdana" w:hAnsi="Verdana"/>
          <w:sz w:val="18"/>
          <w:szCs w:val="20"/>
        </w:rPr>
      </w:pPr>
      <w:r w:rsidRPr="007B7CAF">
        <w:rPr>
          <w:rFonts w:ascii="Verdana" w:hAnsi="Verdana"/>
          <w:sz w:val="18"/>
          <w:szCs w:val="20"/>
        </w:rPr>
        <w:t>Vilniuje rinkos balanso rodiklis nuo metų pradžios balansuoja ant pardavėjų rinkos ribos. Žvelgiant pagal segmentus, labiausiai subalansuota yra ekonominė klasė, tačiau vidutinė klasė stipriai pasislinko į pardavėjų pusę. Vidutinės klasės paklausa Vilniuje išaugo sparčiau (vidutinės klasės būstų per 2025 m. 9 mėnesius nupirkta beveik 2,5 karto daugiau nei per 2024 m. 9 mėnesius, šio segmento populiarumas augo sparčiausiai), nei kad spėjo pildytis pasiūla. Tokia rinkos situacija sukuria sąlygas sparčiau augti kainoms šiame segmente. Nors vidutinės klasės kainą palaiko stabiliame lygyje pasiūlos struktūra, šiemet stebimas intensyvesnis kainų kėlimas atskirų projektų lygmenyje.</w:t>
      </w:r>
    </w:p>
    <w:p w14:paraId="1E41CB87" w14:textId="77777777" w:rsidR="007B7CAF" w:rsidRPr="007B7CAF" w:rsidRDefault="007B7CAF" w:rsidP="007B7CAF">
      <w:pPr>
        <w:rPr>
          <w:rFonts w:ascii="Verdana" w:hAnsi="Verdana"/>
          <w:sz w:val="18"/>
          <w:szCs w:val="20"/>
        </w:rPr>
      </w:pPr>
      <w:r w:rsidRPr="007B7CAF">
        <w:rPr>
          <w:rFonts w:ascii="Verdana" w:hAnsi="Verdana"/>
          <w:sz w:val="18"/>
          <w:szCs w:val="20"/>
        </w:rPr>
        <w:t>Kaune rinkos balanso rodiklis metų pradžioje balansavo ant pardavėjų rinkos ribos. Ypač aktyvus pirmas pusmetis Kaune lėmė, kad buvo pilna koja įžengta į pardavėjų rinką. Tačiau pasiūla ėmė pildytis sparčiau, todėl 3 ketvirtį stebime sugrįžimą į subalansuotą rinką.</w:t>
      </w:r>
    </w:p>
    <w:p w14:paraId="5D29B203" w14:textId="77777777" w:rsidR="007B7CAF" w:rsidRPr="007B7CAF" w:rsidRDefault="007B7CAF" w:rsidP="007B7CAF">
      <w:pPr>
        <w:rPr>
          <w:rFonts w:ascii="Verdana" w:hAnsi="Verdana"/>
          <w:b/>
          <w:bCs/>
          <w:sz w:val="18"/>
          <w:szCs w:val="20"/>
        </w:rPr>
      </w:pPr>
      <w:r w:rsidRPr="007B7CAF">
        <w:rPr>
          <w:rFonts w:ascii="Verdana" w:hAnsi="Verdana"/>
          <w:b/>
          <w:bCs/>
          <w:sz w:val="18"/>
          <w:szCs w:val="20"/>
        </w:rPr>
        <w:t>Ko laukti per ateinantį pusmetį</w:t>
      </w:r>
    </w:p>
    <w:p w14:paraId="239F113B" w14:textId="77777777" w:rsidR="007B7CAF" w:rsidRPr="007B7CAF" w:rsidRDefault="007B7CAF" w:rsidP="007B7CAF">
      <w:pPr>
        <w:rPr>
          <w:rFonts w:ascii="Verdana" w:hAnsi="Verdana"/>
          <w:sz w:val="18"/>
          <w:szCs w:val="20"/>
        </w:rPr>
      </w:pPr>
      <w:r w:rsidRPr="007B7CAF">
        <w:rPr>
          <w:rFonts w:ascii="Verdana" w:hAnsi="Verdana"/>
          <w:sz w:val="18"/>
          <w:szCs w:val="20"/>
        </w:rPr>
        <w:t>Sumažėjusios Euribor palūkanos šiemet lėmė ne tik sandorių augimą, bet kartu ir sujudino ir būsto paskolų situaciją. Geresnės situacijos būsto rinkoje laukę žmonės taupė ir tarpbankinei paskolų normai priartėjus prie 2 proc. ribos sugrįžo į rinką. Lietuvos banko duomenimis, liepą buvo išduota daugiau nei 323 mln. Eur būsto paskolų – tai rekordinis skaičius.</w:t>
      </w:r>
    </w:p>
    <w:p w14:paraId="3945B698" w14:textId="2864CCBE" w:rsidR="007B7CAF" w:rsidRPr="007B7CAF" w:rsidRDefault="007B7CAF" w:rsidP="007B7CAF">
      <w:pPr>
        <w:rPr>
          <w:rFonts w:ascii="Verdana" w:hAnsi="Verdana"/>
          <w:sz w:val="18"/>
          <w:szCs w:val="20"/>
        </w:rPr>
      </w:pPr>
      <w:r w:rsidRPr="007B7CAF">
        <w:rPr>
          <w:rFonts w:ascii="Verdana" w:hAnsi="Verdana"/>
          <w:sz w:val="18"/>
          <w:szCs w:val="20"/>
        </w:rPr>
        <w:t>„Tikimasi, kad Euribor palūkanos dar mažės iki ateinančių metų I ketvirčio pabaigos, taigi, tuomet turėtų stabilizuotis ir sandorių skaičius būsto rinkoje. Visgi, trumpalaikį, bet gan stiprų postūmį kitais metais gali suteikti antrosios pakopos pensijų fondų lėšų atėjimas į būsto segmentą bei Lietuvos banko siūlomi atsakingo skolinimosi nuostatų pakeitimai, jei jie bus patvirtinti“, – prognozuoja „Citus“ NT analitikė Ugnė Žiogelė.</w:t>
      </w:r>
    </w:p>
    <w:p w14:paraId="552DF0CA" w14:textId="1023677C" w:rsidR="00CD25EF" w:rsidRPr="00CD25EF" w:rsidRDefault="00727A9B" w:rsidP="00727A9B">
      <w:pPr>
        <w:rPr>
          <w:rFonts w:ascii="Verdana" w:hAnsi="Verdana"/>
          <w:i/>
          <w:iCs/>
          <w:sz w:val="16"/>
          <w:szCs w:val="18"/>
        </w:rPr>
      </w:pPr>
      <w:r w:rsidRPr="00727A9B">
        <w:rPr>
          <w:rFonts w:ascii="Verdana" w:hAnsi="Verdana"/>
          <w:i/>
          <w:iCs/>
          <w:sz w:val="16"/>
          <w:szCs w:val="18"/>
        </w:rPr>
        <w:t>*„Citus“ analitikai, vertindami pirminės būsto rinkos paklausą, skaičiuoja preliminarius sandorius dėl butų ir kotedžų įsigijimo. Kotedžai į šį skaičių įtraukiami todėl, kad, formaliai, dauguma kotedžų yra priskirtini butams ir jie yra aktualūs būsto pirkėjams. Taip pat iš einamojo mėnesio rezultato nėra eliminuojami rinkos preliminariųjų sutarčių nutraukimai, kurie, paprastai, būna susiję su anksčiau sudarytais sandoriais, todėl neparodo einamojo mėnesio paklausos. Kartais pardavimų rezultatas išauga dėl vienu metu suvestų ankstesnių mėnesių pardavimų, todėl konkretų mėnesį fiksuojami išaugę, tačiau didesni „sukritimai“ būna užfiksuojami, o duomenys yra nuolat atnaujinami, todėl ilgesniu laikotarpiu neatitikimai išsilygina.</w:t>
      </w:r>
    </w:p>
    <w:p w14:paraId="6D9A9724" w14:textId="77777777" w:rsidR="00A84C69" w:rsidRPr="0076656D" w:rsidRDefault="00A84C69" w:rsidP="0017754C">
      <w:pPr>
        <w:pBdr>
          <w:bottom w:val="single" w:sz="8" w:space="1" w:color="FFC000"/>
        </w:pBdr>
        <w:rPr>
          <w:rFonts w:ascii="Verdana" w:hAnsi="Verdana"/>
          <w:sz w:val="18"/>
          <w:szCs w:val="20"/>
        </w:rPr>
      </w:pPr>
    </w:p>
    <w:p w14:paraId="75AE99DB" w14:textId="120FA5A0" w:rsidR="004137F3" w:rsidRPr="0076656D" w:rsidRDefault="004137F3" w:rsidP="0081024D">
      <w:pPr>
        <w:spacing w:after="100" w:afterAutospacing="1"/>
        <w:contextualSpacing/>
        <w:mirrorIndents/>
        <w:outlineLvl w:val="0"/>
        <w:rPr>
          <w:rFonts w:ascii="Verdana" w:hAnsi="Verdana" w:cstheme="majorHAnsi"/>
          <w:b/>
          <w:sz w:val="18"/>
          <w:szCs w:val="18"/>
          <w:shd w:val="clear" w:color="auto" w:fill="FFFFFF"/>
        </w:rPr>
      </w:pPr>
    </w:p>
    <w:p w14:paraId="3187DF5B" w14:textId="77777777" w:rsidR="0081024D" w:rsidRPr="0076656D" w:rsidRDefault="0081024D" w:rsidP="0081024D">
      <w:pPr>
        <w:spacing w:after="100" w:afterAutospacing="1"/>
        <w:contextualSpacing/>
        <w:mirrorIndents/>
        <w:outlineLvl w:val="0"/>
        <w:rPr>
          <w:rFonts w:ascii="Verdana" w:hAnsi="Verdana" w:cs="Open Sans Light"/>
          <w:b/>
          <w:sz w:val="15"/>
          <w:szCs w:val="15"/>
          <w:shd w:val="clear" w:color="auto" w:fill="FFFFFF"/>
        </w:rPr>
      </w:pPr>
      <w:r w:rsidRPr="0076656D">
        <w:rPr>
          <w:rFonts w:ascii="Verdana" w:hAnsi="Verdana" w:cs="Open Sans Light"/>
          <w:b/>
          <w:sz w:val="15"/>
          <w:szCs w:val="15"/>
          <w:shd w:val="clear" w:color="auto" w:fill="FFFFFF"/>
        </w:rPr>
        <w:t xml:space="preserve">Daugiau informacijos: </w:t>
      </w:r>
    </w:p>
    <w:p w14:paraId="475253FD" w14:textId="686F5081" w:rsidR="00481E6F" w:rsidRPr="0017754C" w:rsidRDefault="0081024D">
      <w:pPr>
        <w:jc w:val="left"/>
        <w:rPr>
          <w:rFonts w:ascii="Verdana" w:hAnsi="Verdana" w:cs="Open Sans Light"/>
          <w:color w:val="3B3838" w:themeColor="background2" w:themeShade="40"/>
          <w:sz w:val="15"/>
          <w:szCs w:val="15"/>
          <w:lang w:eastAsia="lt-LT"/>
        </w:rPr>
      </w:pPr>
      <w:r w:rsidRPr="0076656D">
        <w:rPr>
          <w:rFonts w:ascii="Verdana" w:hAnsi="Verdana" w:cs="Open Sans Light"/>
          <w:sz w:val="15"/>
          <w:szCs w:val="15"/>
          <w:lang w:eastAsia="lt-LT"/>
        </w:rPr>
        <w:t>Rytas Stalnionis</w:t>
      </w:r>
      <w:r w:rsidRPr="0076656D">
        <w:rPr>
          <w:rFonts w:ascii="Verdana" w:hAnsi="Verdana" w:cs="Open Sans Light"/>
          <w:sz w:val="15"/>
          <w:szCs w:val="15"/>
          <w:lang w:eastAsia="lt-LT"/>
        </w:rPr>
        <w:br/>
        <w:t>Komunikacijos vadovas</w:t>
      </w:r>
      <w:r w:rsidRPr="0076656D">
        <w:rPr>
          <w:rFonts w:ascii="Verdana" w:hAnsi="Verdana" w:cs="Open Sans Light"/>
          <w:sz w:val="15"/>
          <w:szCs w:val="15"/>
          <w:lang w:eastAsia="lt-LT"/>
        </w:rPr>
        <w:br/>
        <w:t>Tel.: +370 614 01829</w:t>
      </w:r>
      <w:r w:rsidRPr="0076656D">
        <w:rPr>
          <w:rFonts w:ascii="Verdana" w:hAnsi="Verdana" w:cs="Open Sans Light"/>
          <w:sz w:val="15"/>
          <w:szCs w:val="15"/>
          <w:lang w:eastAsia="lt-LT"/>
        </w:rPr>
        <w:br/>
        <w:t xml:space="preserve">El. paštas </w:t>
      </w:r>
      <w:hyperlink r:id="rId8" w:history="1">
        <w:r w:rsidRPr="0076656D">
          <w:rPr>
            <w:rStyle w:val="Hyperlink"/>
            <w:rFonts w:ascii="Verdana" w:hAnsi="Verdana" w:cs="Open Sans Light"/>
            <w:b/>
            <w:color w:val="3B3838" w:themeColor="background2" w:themeShade="40"/>
            <w:sz w:val="15"/>
            <w:szCs w:val="15"/>
            <w:u w:val="none"/>
            <w:lang w:eastAsia="lt-LT"/>
          </w:rPr>
          <w:t>rytas.stalnionis@citus.lt</w:t>
        </w:r>
      </w:hyperlink>
      <w:r w:rsidRPr="0076656D">
        <w:rPr>
          <w:rFonts w:ascii="Verdana" w:hAnsi="Verdana" w:cs="Open Sans Light"/>
          <w:sz w:val="15"/>
          <w:szCs w:val="15"/>
          <w:lang w:eastAsia="lt-LT"/>
        </w:rPr>
        <w:br/>
      </w:r>
      <w:hyperlink r:id="rId9" w:history="1">
        <w:r w:rsidRPr="0076656D">
          <w:rPr>
            <w:rStyle w:val="Hyperlink"/>
            <w:rFonts w:ascii="Verdana" w:hAnsi="Verdana" w:cs="Open Sans Light"/>
            <w:b/>
            <w:color w:val="3B3838" w:themeColor="background2" w:themeShade="40"/>
            <w:sz w:val="15"/>
            <w:szCs w:val="15"/>
            <w:u w:val="none"/>
            <w:lang w:eastAsia="lt-LT"/>
          </w:rPr>
          <w:t>www.citus.lt</w:t>
        </w:r>
      </w:hyperlink>
    </w:p>
    <w:sectPr w:rsidR="00481E6F" w:rsidRPr="0017754C" w:rsidSect="00B61F58">
      <w:headerReference w:type="default" r:id="rId10"/>
      <w:pgSz w:w="11906" w:h="16838"/>
      <w:pgMar w:top="1418"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E0E2C" w14:textId="77777777" w:rsidR="003E4FBE" w:rsidRDefault="003E4FBE" w:rsidP="00404A94">
      <w:pPr>
        <w:spacing w:after="0"/>
      </w:pPr>
      <w:r>
        <w:separator/>
      </w:r>
    </w:p>
  </w:endnote>
  <w:endnote w:type="continuationSeparator" w:id="0">
    <w:p w14:paraId="5B504240" w14:textId="77777777" w:rsidR="003E4FBE" w:rsidRDefault="003E4FBE" w:rsidP="00404A94">
      <w:pPr>
        <w:spacing w:after="0"/>
      </w:pPr>
      <w:r>
        <w:continuationSeparator/>
      </w:r>
    </w:p>
  </w:endnote>
  <w:endnote w:type="continuationNotice" w:id="1">
    <w:p w14:paraId="79956DAF" w14:textId="77777777" w:rsidR="003E4FBE" w:rsidRDefault="003E4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00022FF" w:usb1="C000205B" w:usb2="00000009" w:usb3="00000000" w:csb0="000001DF" w:csb1="00000000"/>
  </w:font>
  <w:font w:name="Verdana">
    <w:panose1 w:val="020B0604030504040204"/>
    <w:charset w:val="00"/>
    <w:family w:val="swiss"/>
    <w:pitch w:val="variable"/>
    <w:sig w:usb0="A10006FF" w:usb1="4000205B" w:usb2="00000010" w:usb3="00000000" w:csb0="0000019F" w:csb1="00000000"/>
  </w:font>
  <w:font w:name="Open Sans Light">
    <w:panose1 w:val="020B0306030504020204"/>
    <w:charset w:val="00"/>
    <w:family w:val="swiss"/>
    <w:pitch w:val="variable"/>
    <w:sig w:usb0="E00002EF" w:usb1="4000205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72A72" w14:textId="77777777" w:rsidR="003E4FBE" w:rsidRDefault="003E4FBE" w:rsidP="00404A94">
      <w:pPr>
        <w:spacing w:after="0"/>
      </w:pPr>
      <w:r>
        <w:separator/>
      </w:r>
    </w:p>
  </w:footnote>
  <w:footnote w:type="continuationSeparator" w:id="0">
    <w:p w14:paraId="5DBBC2FE" w14:textId="77777777" w:rsidR="003E4FBE" w:rsidRDefault="003E4FBE" w:rsidP="00404A94">
      <w:pPr>
        <w:spacing w:after="0"/>
      </w:pPr>
      <w:r>
        <w:continuationSeparator/>
      </w:r>
    </w:p>
  </w:footnote>
  <w:footnote w:type="continuationNotice" w:id="1">
    <w:p w14:paraId="023EDAB4" w14:textId="77777777" w:rsidR="003E4FBE" w:rsidRDefault="003E4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32CD" w14:textId="66366189" w:rsidR="00E46A19" w:rsidRPr="00E46A19" w:rsidRDefault="00F84055" w:rsidP="00E46A19">
    <w:pPr>
      <w:spacing w:after="0"/>
      <w:jc w:val="left"/>
      <w:rPr>
        <w:rFonts w:ascii="Times New Roman" w:eastAsia="Times New Roman" w:hAnsi="Times New Roman" w:cs="Times New Roman"/>
        <w:sz w:val="24"/>
        <w:szCs w:val="24"/>
        <w:lang w:val="en-US"/>
      </w:rPr>
    </w:pPr>
    <w:r>
      <w:rPr>
        <w:noProof/>
        <w:lang w:val="en-US"/>
      </w:rPr>
      <w:drawing>
        <wp:anchor distT="0" distB="0" distL="114300" distR="114300" simplePos="0" relativeHeight="251658240" behindDoc="0" locked="0" layoutInCell="1" allowOverlap="1" wp14:anchorId="124E77E4" wp14:editId="669F2F81">
          <wp:simplePos x="0" y="0"/>
          <wp:positionH relativeFrom="margin">
            <wp:posOffset>3810</wp:posOffset>
          </wp:positionH>
          <wp:positionV relativeFrom="paragraph">
            <wp:posOffset>-349413</wp:posOffset>
          </wp:positionV>
          <wp:extent cx="6468745" cy="534532"/>
          <wp:effectExtent l="0" t="0" r="0" b="0"/>
          <wp:wrapNone/>
          <wp:docPr id="879240556" name="Picture 87924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68745" cy="534532"/>
                  </a:xfrm>
                  <a:prstGeom prst="rect">
                    <a:avLst/>
                  </a:prstGeom>
                </pic:spPr>
              </pic:pic>
            </a:graphicData>
          </a:graphic>
          <wp14:sizeRelH relativeFrom="margin">
            <wp14:pctWidth>0</wp14:pctWidth>
          </wp14:sizeRelH>
          <wp14:sizeRelV relativeFrom="margin">
            <wp14:pctHeight>0</wp14:pctHeight>
          </wp14:sizeRelV>
        </wp:anchor>
      </w:drawing>
    </w:r>
    <w:r w:rsidR="00E46A19" w:rsidRPr="00E46A19">
      <w:rPr>
        <w:rFonts w:ascii="Times New Roman" w:eastAsia="Times New Roman" w:hAnsi="Times New Roman" w:cs="Times New Roman"/>
        <w:sz w:val="24"/>
        <w:szCs w:val="24"/>
        <w:lang w:val="en-US"/>
      </w:rPr>
      <w:fldChar w:fldCharType="begin"/>
    </w:r>
    <w:r w:rsidR="00E46A19" w:rsidRPr="00E46A19">
      <w:rPr>
        <w:rFonts w:ascii="Times New Roman" w:eastAsia="Times New Roman" w:hAnsi="Times New Roman" w:cs="Times New Roman"/>
        <w:sz w:val="24"/>
        <w:szCs w:val="24"/>
        <w:lang w:val="en-US"/>
      </w:rPr>
      <w:instrText xml:space="preserve"> INCLUDEPICTURE "http://lntpa.lt/wp-content/themes/lntpa-front/img/logo.png" \* MERGEFORMATINET </w:instrText>
    </w:r>
    <w:r w:rsidR="00E46A19" w:rsidRPr="00E46A19">
      <w:rPr>
        <w:rFonts w:ascii="Times New Roman" w:eastAsia="Times New Roman" w:hAnsi="Times New Roman" w:cs="Times New Roman"/>
        <w:sz w:val="24"/>
        <w:szCs w:val="24"/>
        <w:lang w:val="en-US"/>
      </w:rPr>
      <w:fldChar w:fldCharType="end"/>
    </w:r>
  </w:p>
  <w:p w14:paraId="1FC68457" w14:textId="67EF6659" w:rsidR="00404A94" w:rsidRDefault="00404A94">
    <w:pPr>
      <w:pStyle w:val="Header"/>
    </w:pPr>
  </w:p>
  <w:p w14:paraId="69503709" w14:textId="0F2DF9DD" w:rsidR="00404A94" w:rsidRDefault="00404A94">
    <w:pPr>
      <w:pStyle w:val="Header"/>
    </w:pPr>
  </w:p>
  <w:p w14:paraId="10703575" w14:textId="77777777" w:rsidR="00404A94" w:rsidRDefault="00404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829A3"/>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2223A"/>
    <w:multiLevelType w:val="hybridMultilevel"/>
    <w:tmpl w:val="73CE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81B0B"/>
    <w:multiLevelType w:val="hybridMultilevel"/>
    <w:tmpl w:val="E8325F64"/>
    <w:lvl w:ilvl="0" w:tplc="1F22B208">
      <w:start w:val="1"/>
      <w:numFmt w:val="bullet"/>
      <w:lvlText w:val=""/>
      <w:lvlJc w:val="left"/>
      <w:pPr>
        <w:ind w:left="720" w:hanging="360"/>
      </w:pPr>
      <w:rPr>
        <w:rFonts w:ascii="Symbol" w:hAnsi="Symbol" w:hint="default"/>
        <w:color w:val="FFC000"/>
      </w:rPr>
    </w:lvl>
    <w:lvl w:ilvl="1" w:tplc="1646BB9A">
      <w:start w:val="1"/>
      <w:numFmt w:val="bullet"/>
      <w:lvlText w:val="–"/>
      <w:lvlJc w:val="left"/>
      <w:pPr>
        <w:ind w:left="1440" w:hanging="360"/>
      </w:pPr>
      <w:rPr>
        <w:rFonts w:ascii="Courier New" w:hAnsi="Courier New" w:hint="default"/>
        <w:color w:val="FFC00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B9357A"/>
    <w:multiLevelType w:val="hybridMultilevel"/>
    <w:tmpl w:val="EB280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0B3517"/>
    <w:multiLevelType w:val="hybridMultilevel"/>
    <w:tmpl w:val="9D044534"/>
    <w:lvl w:ilvl="0" w:tplc="41663E14">
      <w:start w:val="1"/>
      <w:numFmt w:val="decimal"/>
      <w:lvlText w:val="%1."/>
      <w:lvlJc w:val="left"/>
      <w:pPr>
        <w:ind w:left="720" w:hanging="360"/>
      </w:pPr>
      <w:rPr>
        <w:b/>
        <w:bCs/>
        <w:color w:val="FFC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C2E1C"/>
    <w:multiLevelType w:val="hybridMultilevel"/>
    <w:tmpl w:val="2220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4606"/>
    <w:multiLevelType w:val="hybridMultilevel"/>
    <w:tmpl w:val="09CC2A08"/>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81308"/>
    <w:multiLevelType w:val="hybridMultilevel"/>
    <w:tmpl w:val="A65A7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F69C9"/>
    <w:multiLevelType w:val="hybridMultilevel"/>
    <w:tmpl w:val="C484736A"/>
    <w:lvl w:ilvl="0" w:tplc="0D6892BA">
      <w:start w:val="1"/>
      <w:numFmt w:val="bullet"/>
      <w:lvlText w:val=""/>
      <w:lvlJc w:val="left"/>
      <w:pPr>
        <w:ind w:left="720" w:hanging="360"/>
      </w:pPr>
      <w:rPr>
        <w:rFonts w:ascii="Symbol" w:hAnsi="Symbol" w:hint="default"/>
        <w:color w:val="FFC000"/>
      </w:rPr>
    </w:lvl>
    <w:lvl w:ilvl="1" w:tplc="0A98A6C2">
      <w:start w:val="1"/>
      <w:numFmt w:val="bullet"/>
      <w:lvlText w:val=""/>
      <w:lvlJc w:val="left"/>
      <w:pPr>
        <w:ind w:left="1440" w:hanging="360"/>
      </w:pPr>
      <w:rPr>
        <w:rFonts w:ascii="Symbol" w:hAnsi="Symbol" w:hint="default"/>
        <w:color w:val="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D5E54"/>
    <w:multiLevelType w:val="hybridMultilevel"/>
    <w:tmpl w:val="C5E21E66"/>
    <w:lvl w:ilvl="0" w:tplc="75082596">
      <w:start w:val="1"/>
      <w:numFmt w:val="bullet"/>
      <w:lvlText w:val=""/>
      <w:lvlJc w:val="left"/>
      <w:pPr>
        <w:ind w:left="720" w:hanging="360"/>
      </w:pPr>
      <w:rPr>
        <w:rFonts w:ascii="Symbol" w:hAnsi="Symbol" w:hint="default"/>
        <w:color w:val="DAA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F0292"/>
    <w:multiLevelType w:val="hybridMultilevel"/>
    <w:tmpl w:val="365CD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91438C"/>
    <w:multiLevelType w:val="hybridMultilevel"/>
    <w:tmpl w:val="0EDC7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2D4C5A"/>
    <w:multiLevelType w:val="hybridMultilevel"/>
    <w:tmpl w:val="810E674E"/>
    <w:lvl w:ilvl="0" w:tplc="A600C59C">
      <w:start w:val="1"/>
      <w:numFmt w:val="bullet"/>
      <w:lvlText w:val=""/>
      <w:lvlJc w:val="left"/>
      <w:pPr>
        <w:ind w:left="720" w:hanging="360"/>
      </w:pPr>
      <w:rPr>
        <w:rFonts w:ascii="Symbol" w:hAnsi="Symbol" w:hint="default"/>
        <w:color w:val="FFC000"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D1824"/>
    <w:multiLevelType w:val="multilevel"/>
    <w:tmpl w:val="C426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3B7E4D"/>
    <w:multiLevelType w:val="multilevel"/>
    <w:tmpl w:val="5A96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C41906"/>
    <w:multiLevelType w:val="hybridMultilevel"/>
    <w:tmpl w:val="BCBC31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6805A2"/>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5F5691"/>
    <w:multiLevelType w:val="multilevel"/>
    <w:tmpl w:val="7510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C451EE"/>
    <w:multiLevelType w:val="hybridMultilevel"/>
    <w:tmpl w:val="DE96BAE4"/>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8618A"/>
    <w:multiLevelType w:val="hybridMultilevel"/>
    <w:tmpl w:val="4A286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4D6753"/>
    <w:multiLevelType w:val="hybridMultilevel"/>
    <w:tmpl w:val="F9D4DE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0B0F3E"/>
    <w:multiLevelType w:val="hybridMultilevel"/>
    <w:tmpl w:val="E272EB22"/>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33CF1"/>
    <w:multiLevelType w:val="hybridMultilevel"/>
    <w:tmpl w:val="316091A4"/>
    <w:lvl w:ilvl="0" w:tplc="C5AE471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13D46"/>
    <w:multiLevelType w:val="hybridMultilevel"/>
    <w:tmpl w:val="C4F2F01C"/>
    <w:lvl w:ilvl="0" w:tplc="EEA60D74">
      <w:start w:val="1"/>
      <w:numFmt w:val="bullet"/>
      <w:lvlText w:val=""/>
      <w:lvlJc w:val="left"/>
      <w:pPr>
        <w:ind w:left="720" w:hanging="360"/>
      </w:pPr>
      <w:rPr>
        <w:rFonts w:ascii="Symbol" w:hAnsi="Symbol" w:hint="default"/>
        <w:color w:val="FCD010"/>
        <w:sz w:val="28"/>
      </w:rPr>
    </w:lvl>
    <w:lvl w:ilvl="1" w:tplc="EEB2CD1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AB7931"/>
    <w:multiLevelType w:val="hybridMultilevel"/>
    <w:tmpl w:val="4488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FC5BC5"/>
    <w:multiLevelType w:val="hybridMultilevel"/>
    <w:tmpl w:val="8D44F542"/>
    <w:lvl w:ilvl="0" w:tplc="8E18CB8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6ED4"/>
    <w:multiLevelType w:val="multilevel"/>
    <w:tmpl w:val="1300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F77060"/>
    <w:multiLevelType w:val="hybridMultilevel"/>
    <w:tmpl w:val="D3D65E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4B2005"/>
    <w:multiLevelType w:val="hybridMultilevel"/>
    <w:tmpl w:val="6F72ECA2"/>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72A64"/>
    <w:multiLevelType w:val="hybridMultilevel"/>
    <w:tmpl w:val="F908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022CA"/>
    <w:multiLevelType w:val="hybridMultilevel"/>
    <w:tmpl w:val="C91CD8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F5F6A06"/>
    <w:multiLevelType w:val="hybridMultilevel"/>
    <w:tmpl w:val="60481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04841F9"/>
    <w:multiLevelType w:val="hybridMultilevel"/>
    <w:tmpl w:val="3F9A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A7BB9"/>
    <w:multiLevelType w:val="hybridMultilevel"/>
    <w:tmpl w:val="691CC364"/>
    <w:lvl w:ilvl="0" w:tplc="639606BC">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34843"/>
    <w:multiLevelType w:val="multilevel"/>
    <w:tmpl w:val="DA44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7F7F18"/>
    <w:multiLevelType w:val="hybridMultilevel"/>
    <w:tmpl w:val="41D4E442"/>
    <w:lvl w:ilvl="0" w:tplc="75082596">
      <w:start w:val="1"/>
      <w:numFmt w:val="bullet"/>
      <w:lvlText w:val=""/>
      <w:lvlJc w:val="left"/>
      <w:pPr>
        <w:ind w:left="720" w:hanging="360"/>
      </w:pPr>
      <w:rPr>
        <w:rFonts w:ascii="Symbol" w:hAnsi="Symbol" w:hint="default"/>
        <w:color w:val="DAA6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0751201">
    <w:abstractNumId w:val="3"/>
  </w:num>
  <w:num w:numId="2" w16cid:durableId="1565750052">
    <w:abstractNumId w:val="30"/>
  </w:num>
  <w:num w:numId="3" w16cid:durableId="1815903907">
    <w:abstractNumId w:val="31"/>
  </w:num>
  <w:num w:numId="4" w16cid:durableId="1561406862">
    <w:abstractNumId w:val="35"/>
  </w:num>
  <w:num w:numId="5" w16cid:durableId="321006177">
    <w:abstractNumId w:val="27"/>
  </w:num>
  <w:num w:numId="6" w16cid:durableId="503938402">
    <w:abstractNumId w:val="24"/>
  </w:num>
  <w:num w:numId="7" w16cid:durableId="1758016345">
    <w:abstractNumId w:val="22"/>
  </w:num>
  <w:num w:numId="8" w16cid:durableId="2074308771">
    <w:abstractNumId w:val="9"/>
  </w:num>
  <w:num w:numId="9" w16cid:durableId="263540259">
    <w:abstractNumId w:val="25"/>
  </w:num>
  <w:num w:numId="10" w16cid:durableId="1759860241">
    <w:abstractNumId w:val="7"/>
  </w:num>
  <w:num w:numId="11" w16cid:durableId="813330766">
    <w:abstractNumId w:val="28"/>
  </w:num>
  <w:num w:numId="12" w16cid:durableId="1478958565">
    <w:abstractNumId w:val="18"/>
  </w:num>
  <w:num w:numId="13" w16cid:durableId="574709329">
    <w:abstractNumId w:val="33"/>
  </w:num>
  <w:num w:numId="14" w16cid:durableId="29310045">
    <w:abstractNumId w:val="4"/>
  </w:num>
  <w:num w:numId="15" w16cid:durableId="1947807562">
    <w:abstractNumId w:val="2"/>
  </w:num>
  <w:num w:numId="16" w16cid:durableId="2101025905">
    <w:abstractNumId w:val="29"/>
  </w:num>
  <w:num w:numId="17" w16cid:durableId="394011149">
    <w:abstractNumId w:val="32"/>
  </w:num>
  <w:num w:numId="18" w16cid:durableId="1758165198">
    <w:abstractNumId w:val="5"/>
  </w:num>
  <w:num w:numId="19" w16cid:durableId="836648520">
    <w:abstractNumId w:val="12"/>
  </w:num>
  <w:num w:numId="20" w16cid:durableId="120078200">
    <w:abstractNumId w:val="21"/>
  </w:num>
  <w:num w:numId="21" w16cid:durableId="562251221">
    <w:abstractNumId w:val="6"/>
  </w:num>
  <w:num w:numId="22" w16cid:durableId="1653556973">
    <w:abstractNumId w:val="8"/>
  </w:num>
  <w:num w:numId="23" w16cid:durableId="303893639">
    <w:abstractNumId w:val="19"/>
  </w:num>
  <w:num w:numId="24" w16cid:durableId="1997344683">
    <w:abstractNumId w:val="23"/>
  </w:num>
  <w:num w:numId="25" w16cid:durableId="1493328608">
    <w:abstractNumId w:val="0"/>
  </w:num>
  <w:num w:numId="26" w16cid:durableId="1410615241">
    <w:abstractNumId w:val="16"/>
  </w:num>
  <w:num w:numId="27" w16cid:durableId="564411746">
    <w:abstractNumId w:val="26"/>
  </w:num>
  <w:num w:numId="28" w16cid:durableId="617685256">
    <w:abstractNumId w:val="11"/>
  </w:num>
  <w:num w:numId="29" w16cid:durableId="59912274">
    <w:abstractNumId w:val="1"/>
  </w:num>
  <w:num w:numId="30" w16cid:durableId="2030720313">
    <w:abstractNumId w:val="17"/>
  </w:num>
  <w:num w:numId="31" w16cid:durableId="211234332">
    <w:abstractNumId w:val="34"/>
  </w:num>
  <w:num w:numId="32" w16cid:durableId="1479104076">
    <w:abstractNumId w:val="13"/>
  </w:num>
  <w:num w:numId="33" w16cid:durableId="114520068">
    <w:abstractNumId w:val="14"/>
  </w:num>
  <w:num w:numId="34" w16cid:durableId="1986353541">
    <w:abstractNumId w:val="10"/>
  </w:num>
  <w:num w:numId="35" w16cid:durableId="797335950">
    <w:abstractNumId w:val="15"/>
  </w:num>
  <w:num w:numId="36" w16cid:durableId="113143390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BC6"/>
    <w:rsid w:val="0000119F"/>
    <w:rsid w:val="00001CEF"/>
    <w:rsid w:val="00003B21"/>
    <w:rsid w:val="000102C2"/>
    <w:rsid w:val="00010448"/>
    <w:rsid w:val="000108A2"/>
    <w:rsid w:val="000114F9"/>
    <w:rsid w:val="00011977"/>
    <w:rsid w:val="00013672"/>
    <w:rsid w:val="0001721B"/>
    <w:rsid w:val="0002086F"/>
    <w:rsid w:val="000217A6"/>
    <w:rsid w:val="000220B2"/>
    <w:rsid w:val="000221C9"/>
    <w:rsid w:val="00024A94"/>
    <w:rsid w:val="00026800"/>
    <w:rsid w:val="00026C07"/>
    <w:rsid w:val="00026DDA"/>
    <w:rsid w:val="00031848"/>
    <w:rsid w:val="00031AB6"/>
    <w:rsid w:val="000337FF"/>
    <w:rsid w:val="00034DE4"/>
    <w:rsid w:val="00035DFA"/>
    <w:rsid w:val="000402B6"/>
    <w:rsid w:val="00041FD0"/>
    <w:rsid w:val="0004431E"/>
    <w:rsid w:val="0004556B"/>
    <w:rsid w:val="00045CD6"/>
    <w:rsid w:val="000465CD"/>
    <w:rsid w:val="00046EBB"/>
    <w:rsid w:val="00050130"/>
    <w:rsid w:val="0005143F"/>
    <w:rsid w:val="00052F47"/>
    <w:rsid w:val="00053E05"/>
    <w:rsid w:val="0005705C"/>
    <w:rsid w:val="00057388"/>
    <w:rsid w:val="00057C81"/>
    <w:rsid w:val="0006162D"/>
    <w:rsid w:val="00065A74"/>
    <w:rsid w:val="00066E9C"/>
    <w:rsid w:val="0007019C"/>
    <w:rsid w:val="00071C5C"/>
    <w:rsid w:val="00075B5D"/>
    <w:rsid w:val="0007783D"/>
    <w:rsid w:val="00077B19"/>
    <w:rsid w:val="00077E4B"/>
    <w:rsid w:val="00080238"/>
    <w:rsid w:val="00082253"/>
    <w:rsid w:val="00086589"/>
    <w:rsid w:val="0008718D"/>
    <w:rsid w:val="00087E40"/>
    <w:rsid w:val="0009095D"/>
    <w:rsid w:val="00091988"/>
    <w:rsid w:val="00093117"/>
    <w:rsid w:val="00095090"/>
    <w:rsid w:val="00095A7F"/>
    <w:rsid w:val="0009618E"/>
    <w:rsid w:val="00097BCF"/>
    <w:rsid w:val="000A348C"/>
    <w:rsid w:val="000A3BCC"/>
    <w:rsid w:val="000B415E"/>
    <w:rsid w:val="000B51C4"/>
    <w:rsid w:val="000B6652"/>
    <w:rsid w:val="000C2D23"/>
    <w:rsid w:val="000C466A"/>
    <w:rsid w:val="000C7799"/>
    <w:rsid w:val="000D3793"/>
    <w:rsid w:val="000D52B0"/>
    <w:rsid w:val="000D5408"/>
    <w:rsid w:val="000D6181"/>
    <w:rsid w:val="000D7996"/>
    <w:rsid w:val="000E0278"/>
    <w:rsid w:val="000E2549"/>
    <w:rsid w:val="000E412F"/>
    <w:rsid w:val="000E5716"/>
    <w:rsid w:val="000E76EF"/>
    <w:rsid w:val="000F0AE3"/>
    <w:rsid w:val="000F2EF8"/>
    <w:rsid w:val="000F316C"/>
    <w:rsid w:val="000F349B"/>
    <w:rsid w:val="000F3861"/>
    <w:rsid w:val="000F67CF"/>
    <w:rsid w:val="000F6D77"/>
    <w:rsid w:val="0010074C"/>
    <w:rsid w:val="00100E5F"/>
    <w:rsid w:val="001019A3"/>
    <w:rsid w:val="0010443F"/>
    <w:rsid w:val="00110172"/>
    <w:rsid w:val="00110A4F"/>
    <w:rsid w:val="00113E0A"/>
    <w:rsid w:val="0011478A"/>
    <w:rsid w:val="001157AE"/>
    <w:rsid w:val="00116893"/>
    <w:rsid w:val="001168FC"/>
    <w:rsid w:val="00120A16"/>
    <w:rsid w:val="0012235E"/>
    <w:rsid w:val="00123A5A"/>
    <w:rsid w:val="00124643"/>
    <w:rsid w:val="00127DAE"/>
    <w:rsid w:val="001301F8"/>
    <w:rsid w:val="00131EEE"/>
    <w:rsid w:val="001352A6"/>
    <w:rsid w:val="00135A25"/>
    <w:rsid w:val="00143194"/>
    <w:rsid w:val="001448B0"/>
    <w:rsid w:val="00144B4C"/>
    <w:rsid w:val="001461B5"/>
    <w:rsid w:val="0014782B"/>
    <w:rsid w:val="0014782E"/>
    <w:rsid w:val="00150643"/>
    <w:rsid w:val="00154127"/>
    <w:rsid w:val="00155BAD"/>
    <w:rsid w:val="001562E0"/>
    <w:rsid w:val="00156834"/>
    <w:rsid w:val="00157C43"/>
    <w:rsid w:val="0016042B"/>
    <w:rsid w:val="00162248"/>
    <w:rsid w:val="001625E1"/>
    <w:rsid w:val="00166160"/>
    <w:rsid w:val="0016653B"/>
    <w:rsid w:val="001669D3"/>
    <w:rsid w:val="00167031"/>
    <w:rsid w:val="00170EDF"/>
    <w:rsid w:val="001763B9"/>
    <w:rsid w:val="0017754C"/>
    <w:rsid w:val="00177C8A"/>
    <w:rsid w:val="001808C3"/>
    <w:rsid w:val="00183163"/>
    <w:rsid w:val="001842DA"/>
    <w:rsid w:val="001923F6"/>
    <w:rsid w:val="0019298F"/>
    <w:rsid w:val="00194A2D"/>
    <w:rsid w:val="001958A7"/>
    <w:rsid w:val="00195958"/>
    <w:rsid w:val="001A10C9"/>
    <w:rsid w:val="001A17DD"/>
    <w:rsid w:val="001A4310"/>
    <w:rsid w:val="001A559F"/>
    <w:rsid w:val="001A607B"/>
    <w:rsid w:val="001A7C57"/>
    <w:rsid w:val="001B4202"/>
    <w:rsid w:val="001B4689"/>
    <w:rsid w:val="001B7400"/>
    <w:rsid w:val="001B7A5D"/>
    <w:rsid w:val="001B7B47"/>
    <w:rsid w:val="001C08A4"/>
    <w:rsid w:val="001C38BA"/>
    <w:rsid w:val="001C5DAE"/>
    <w:rsid w:val="001C6006"/>
    <w:rsid w:val="001D0703"/>
    <w:rsid w:val="001D2FE9"/>
    <w:rsid w:val="001D4D1A"/>
    <w:rsid w:val="001E2509"/>
    <w:rsid w:val="001E3644"/>
    <w:rsid w:val="001E51A0"/>
    <w:rsid w:val="001E5AD7"/>
    <w:rsid w:val="001E720E"/>
    <w:rsid w:val="001E7680"/>
    <w:rsid w:val="001F08A7"/>
    <w:rsid w:val="001F14EC"/>
    <w:rsid w:val="001F695C"/>
    <w:rsid w:val="001F7CF5"/>
    <w:rsid w:val="00201EAB"/>
    <w:rsid w:val="00204913"/>
    <w:rsid w:val="002054A3"/>
    <w:rsid w:val="00205E76"/>
    <w:rsid w:val="0021114B"/>
    <w:rsid w:val="002120DB"/>
    <w:rsid w:val="00213309"/>
    <w:rsid w:val="0021336A"/>
    <w:rsid w:val="00214349"/>
    <w:rsid w:val="002155CF"/>
    <w:rsid w:val="00220C72"/>
    <w:rsid w:val="00220DA2"/>
    <w:rsid w:val="00221860"/>
    <w:rsid w:val="00225476"/>
    <w:rsid w:val="00225DC1"/>
    <w:rsid w:val="00226A21"/>
    <w:rsid w:val="00226FE4"/>
    <w:rsid w:val="00237177"/>
    <w:rsid w:val="0023765A"/>
    <w:rsid w:val="00237FA4"/>
    <w:rsid w:val="00241C37"/>
    <w:rsid w:val="00243606"/>
    <w:rsid w:val="002461FF"/>
    <w:rsid w:val="00246B12"/>
    <w:rsid w:val="00247FB5"/>
    <w:rsid w:val="00251240"/>
    <w:rsid w:val="00254D36"/>
    <w:rsid w:val="002550D7"/>
    <w:rsid w:val="002606AC"/>
    <w:rsid w:val="0026093C"/>
    <w:rsid w:val="00260A01"/>
    <w:rsid w:val="0026120A"/>
    <w:rsid w:val="002651DB"/>
    <w:rsid w:val="00265B81"/>
    <w:rsid w:val="00270E92"/>
    <w:rsid w:val="002717F0"/>
    <w:rsid w:val="002745DA"/>
    <w:rsid w:val="002767B8"/>
    <w:rsid w:val="0027680F"/>
    <w:rsid w:val="0028070B"/>
    <w:rsid w:val="00281077"/>
    <w:rsid w:val="00282D53"/>
    <w:rsid w:val="002836DD"/>
    <w:rsid w:val="00287BF9"/>
    <w:rsid w:val="00290AE9"/>
    <w:rsid w:val="00291878"/>
    <w:rsid w:val="002928DA"/>
    <w:rsid w:val="00296194"/>
    <w:rsid w:val="00296465"/>
    <w:rsid w:val="002A210A"/>
    <w:rsid w:val="002A71A6"/>
    <w:rsid w:val="002A78C2"/>
    <w:rsid w:val="002B0369"/>
    <w:rsid w:val="002B0A7D"/>
    <w:rsid w:val="002B1F95"/>
    <w:rsid w:val="002B2462"/>
    <w:rsid w:val="002B447A"/>
    <w:rsid w:val="002B59D3"/>
    <w:rsid w:val="002B74FA"/>
    <w:rsid w:val="002C0A0D"/>
    <w:rsid w:val="002C0E72"/>
    <w:rsid w:val="002C3517"/>
    <w:rsid w:val="002C4127"/>
    <w:rsid w:val="002C51AF"/>
    <w:rsid w:val="002C7B21"/>
    <w:rsid w:val="002D10D4"/>
    <w:rsid w:val="002D2D05"/>
    <w:rsid w:val="002D6044"/>
    <w:rsid w:val="002D6660"/>
    <w:rsid w:val="002E1ED9"/>
    <w:rsid w:val="002E41F0"/>
    <w:rsid w:val="002F23F4"/>
    <w:rsid w:val="002F6589"/>
    <w:rsid w:val="00303A18"/>
    <w:rsid w:val="00303B6E"/>
    <w:rsid w:val="00303E68"/>
    <w:rsid w:val="0030601D"/>
    <w:rsid w:val="00313D0E"/>
    <w:rsid w:val="00314491"/>
    <w:rsid w:val="0031495A"/>
    <w:rsid w:val="00315026"/>
    <w:rsid w:val="003151C1"/>
    <w:rsid w:val="00320F82"/>
    <w:rsid w:val="00321266"/>
    <w:rsid w:val="00322FC8"/>
    <w:rsid w:val="00323B6B"/>
    <w:rsid w:val="00324AC6"/>
    <w:rsid w:val="00325B7C"/>
    <w:rsid w:val="00325BD6"/>
    <w:rsid w:val="00327A63"/>
    <w:rsid w:val="00330521"/>
    <w:rsid w:val="0033251B"/>
    <w:rsid w:val="00333F2B"/>
    <w:rsid w:val="00334E5B"/>
    <w:rsid w:val="00335334"/>
    <w:rsid w:val="0033705A"/>
    <w:rsid w:val="00341522"/>
    <w:rsid w:val="00342741"/>
    <w:rsid w:val="0034505C"/>
    <w:rsid w:val="003528EE"/>
    <w:rsid w:val="00352A8C"/>
    <w:rsid w:val="00355FF4"/>
    <w:rsid w:val="0036426E"/>
    <w:rsid w:val="003675E8"/>
    <w:rsid w:val="0036787E"/>
    <w:rsid w:val="003679FC"/>
    <w:rsid w:val="00367DE5"/>
    <w:rsid w:val="00367F05"/>
    <w:rsid w:val="00372866"/>
    <w:rsid w:val="00372AA1"/>
    <w:rsid w:val="003737ED"/>
    <w:rsid w:val="0037405F"/>
    <w:rsid w:val="0037583C"/>
    <w:rsid w:val="00375A6A"/>
    <w:rsid w:val="00381E63"/>
    <w:rsid w:val="003825A7"/>
    <w:rsid w:val="00384377"/>
    <w:rsid w:val="003860BB"/>
    <w:rsid w:val="00386C56"/>
    <w:rsid w:val="00387396"/>
    <w:rsid w:val="00394693"/>
    <w:rsid w:val="00394BC2"/>
    <w:rsid w:val="003A02F8"/>
    <w:rsid w:val="003A0367"/>
    <w:rsid w:val="003A560E"/>
    <w:rsid w:val="003A5EB3"/>
    <w:rsid w:val="003A6246"/>
    <w:rsid w:val="003A73F9"/>
    <w:rsid w:val="003B0ADE"/>
    <w:rsid w:val="003B0F71"/>
    <w:rsid w:val="003B3E96"/>
    <w:rsid w:val="003B625B"/>
    <w:rsid w:val="003C013C"/>
    <w:rsid w:val="003C3D91"/>
    <w:rsid w:val="003C4B93"/>
    <w:rsid w:val="003C7566"/>
    <w:rsid w:val="003C7CFB"/>
    <w:rsid w:val="003D0D73"/>
    <w:rsid w:val="003D75DF"/>
    <w:rsid w:val="003E04C6"/>
    <w:rsid w:val="003E0E69"/>
    <w:rsid w:val="003E4F45"/>
    <w:rsid w:val="003E4FBE"/>
    <w:rsid w:val="003E5444"/>
    <w:rsid w:val="003F3DC5"/>
    <w:rsid w:val="003F49B2"/>
    <w:rsid w:val="003F5681"/>
    <w:rsid w:val="003F74BD"/>
    <w:rsid w:val="0040467E"/>
    <w:rsid w:val="00404A94"/>
    <w:rsid w:val="00406519"/>
    <w:rsid w:val="00406A4D"/>
    <w:rsid w:val="0041043B"/>
    <w:rsid w:val="004128C2"/>
    <w:rsid w:val="004137F3"/>
    <w:rsid w:val="00414B1E"/>
    <w:rsid w:val="0041524B"/>
    <w:rsid w:val="004167A6"/>
    <w:rsid w:val="00416F7E"/>
    <w:rsid w:val="00417E64"/>
    <w:rsid w:val="00420F4B"/>
    <w:rsid w:val="00421F7F"/>
    <w:rsid w:val="00422232"/>
    <w:rsid w:val="00422C21"/>
    <w:rsid w:val="00425D31"/>
    <w:rsid w:val="00427125"/>
    <w:rsid w:val="00432D54"/>
    <w:rsid w:val="0043393D"/>
    <w:rsid w:val="00434A91"/>
    <w:rsid w:val="004361FB"/>
    <w:rsid w:val="00436EAA"/>
    <w:rsid w:val="0044207B"/>
    <w:rsid w:val="00442D9B"/>
    <w:rsid w:val="00446BAD"/>
    <w:rsid w:val="004521F4"/>
    <w:rsid w:val="0045364E"/>
    <w:rsid w:val="00456048"/>
    <w:rsid w:val="004561FB"/>
    <w:rsid w:val="00456700"/>
    <w:rsid w:val="00456AEB"/>
    <w:rsid w:val="00456B11"/>
    <w:rsid w:val="00457F27"/>
    <w:rsid w:val="00460A41"/>
    <w:rsid w:val="00462396"/>
    <w:rsid w:val="0046628B"/>
    <w:rsid w:val="00470D62"/>
    <w:rsid w:val="00470EBC"/>
    <w:rsid w:val="0048158E"/>
    <w:rsid w:val="00481E6F"/>
    <w:rsid w:val="00483C59"/>
    <w:rsid w:val="00483C7E"/>
    <w:rsid w:val="00484D06"/>
    <w:rsid w:val="00485130"/>
    <w:rsid w:val="00485D5F"/>
    <w:rsid w:val="00485FD9"/>
    <w:rsid w:val="004903D9"/>
    <w:rsid w:val="004926A3"/>
    <w:rsid w:val="00492E5F"/>
    <w:rsid w:val="00493D6F"/>
    <w:rsid w:val="004945C5"/>
    <w:rsid w:val="0049757B"/>
    <w:rsid w:val="00497789"/>
    <w:rsid w:val="004A0601"/>
    <w:rsid w:val="004A0657"/>
    <w:rsid w:val="004A1BC6"/>
    <w:rsid w:val="004A1FE0"/>
    <w:rsid w:val="004A2E5C"/>
    <w:rsid w:val="004B0357"/>
    <w:rsid w:val="004B1657"/>
    <w:rsid w:val="004B2E9F"/>
    <w:rsid w:val="004B3050"/>
    <w:rsid w:val="004B330C"/>
    <w:rsid w:val="004B5144"/>
    <w:rsid w:val="004C1C98"/>
    <w:rsid w:val="004C50BE"/>
    <w:rsid w:val="004C6BD1"/>
    <w:rsid w:val="004D12DC"/>
    <w:rsid w:val="004D26A1"/>
    <w:rsid w:val="004D53FF"/>
    <w:rsid w:val="004D6814"/>
    <w:rsid w:val="004E33F6"/>
    <w:rsid w:val="004E41B8"/>
    <w:rsid w:val="004E6BC5"/>
    <w:rsid w:val="004E79F4"/>
    <w:rsid w:val="004F0336"/>
    <w:rsid w:val="004F42AE"/>
    <w:rsid w:val="004F686D"/>
    <w:rsid w:val="00501514"/>
    <w:rsid w:val="00501572"/>
    <w:rsid w:val="00504427"/>
    <w:rsid w:val="00505F74"/>
    <w:rsid w:val="005060EE"/>
    <w:rsid w:val="00506E6C"/>
    <w:rsid w:val="00507972"/>
    <w:rsid w:val="00510ED1"/>
    <w:rsid w:val="005132FC"/>
    <w:rsid w:val="00513301"/>
    <w:rsid w:val="00517DBB"/>
    <w:rsid w:val="00520004"/>
    <w:rsid w:val="005206CE"/>
    <w:rsid w:val="00520B0F"/>
    <w:rsid w:val="00520D5A"/>
    <w:rsid w:val="0052199B"/>
    <w:rsid w:val="00521CCA"/>
    <w:rsid w:val="00523406"/>
    <w:rsid w:val="00523E56"/>
    <w:rsid w:val="00527DB0"/>
    <w:rsid w:val="00530367"/>
    <w:rsid w:val="00530D5D"/>
    <w:rsid w:val="00532C4E"/>
    <w:rsid w:val="00537458"/>
    <w:rsid w:val="00540FF7"/>
    <w:rsid w:val="00543DC7"/>
    <w:rsid w:val="005443C4"/>
    <w:rsid w:val="005445AD"/>
    <w:rsid w:val="00544BDC"/>
    <w:rsid w:val="00546A8A"/>
    <w:rsid w:val="005513CF"/>
    <w:rsid w:val="00552CB2"/>
    <w:rsid w:val="00555F6D"/>
    <w:rsid w:val="0056026A"/>
    <w:rsid w:val="00563C5B"/>
    <w:rsid w:val="00565AFB"/>
    <w:rsid w:val="00565E38"/>
    <w:rsid w:val="00566805"/>
    <w:rsid w:val="00571125"/>
    <w:rsid w:val="00573510"/>
    <w:rsid w:val="00573FC7"/>
    <w:rsid w:val="005779FB"/>
    <w:rsid w:val="005813BF"/>
    <w:rsid w:val="005821A3"/>
    <w:rsid w:val="005923D2"/>
    <w:rsid w:val="0059761B"/>
    <w:rsid w:val="005A06F2"/>
    <w:rsid w:val="005B3FF7"/>
    <w:rsid w:val="005B4250"/>
    <w:rsid w:val="005B4ECA"/>
    <w:rsid w:val="005B581E"/>
    <w:rsid w:val="005B6A52"/>
    <w:rsid w:val="005C4B50"/>
    <w:rsid w:val="005C5D60"/>
    <w:rsid w:val="005C5F9A"/>
    <w:rsid w:val="005D1A0C"/>
    <w:rsid w:val="005D217D"/>
    <w:rsid w:val="005D31BF"/>
    <w:rsid w:val="005D3309"/>
    <w:rsid w:val="005E0572"/>
    <w:rsid w:val="005E2169"/>
    <w:rsid w:val="005E2C18"/>
    <w:rsid w:val="005E735C"/>
    <w:rsid w:val="005F0B05"/>
    <w:rsid w:val="005F181F"/>
    <w:rsid w:val="005F1E13"/>
    <w:rsid w:val="005F261A"/>
    <w:rsid w:val="005F2BD8"/>
    <w:rsid w:val="0060051A"/>
    <w:rsid w:val="006036D2"/>
    <w:rsid w:val="006037F6"/>
    <w:rsid w:val="00603985"/>
    <w:rsid w:val="0060455F"/>
    <w:rsid w:val="006070B0"/>
    <w:rsid w:val="00610256"/>
    <w:rsid w:val="00610A79"/>
    <w:rsid w:val="00615BB4"/>
    <w:rsid w:val="00621B4D"/>
    <w:rsid w:val="00621CDF"/>
    <w:rsid w:val="00622C70"/>
    <w:rsid w:val="00623E92"/>
    <w:rsid w:val="00627DBA"/>
    <w:rsid w:val="00630575"/>
    <w:rsid w:val="00633082"/>
    <w:rsid w:val="006358DB"/>
    <w:rsid w:val="006513A2"/>
    <w:rsid w:val="0065284C"/>
    <w:rsid w:val="00654878"/>
    <w:rsid w:val="00654BB0"/>
    <w:rsid w:val="00657BF0"/>
    <w:rsid w:val="0066182B"/>
    <w:rsid w:val="0066324B"/>
    <w:rsid w:val="006732C3"/>
    <w:rsid w:val="006735D4"/>
    <w:rsid w:val="00674A31"/>
    <w:rsid w:val="00680B49"/>
    <w:rsid w:val="006831C7"/>
    <w:rsid w:val="00683A11"/>
    <w:rsid w:val="00685BDA"/>
    <w:rsid w:val="00691A54"/>
    <w:rsid w:val="00692802"/>
    <w:rsid w:val="00693835"/>
    <w:rsid w:val="00693E03"/>
    <w:rsid w:val="00694533"/>
    <w:rsid w:val="00694DFF"/>
    <w:rsid w:val="00696470"/>
    <w:rsid w:val="00697869"/>
    <w:rsid w:val="006A30CA"/>
    <w:rsid w:val="006A4568"/>
    <w:rsid w:val="006B1830"/>
    <w:rsid w:val="006B338F"/>
    <w:rsid w:val="006B3831"/>
    <w:rsid w:val="006B5CDC"/>
    <w:rsid w:val="006C19D2"/>
    <w:rsid w:val="006C4175"/>
    <w:rsid w:val="006C455A"/>
    <w:rsid w:val="006C4633"/>
    <w:rsid w:val="006C49A5"/>
    <w:rsid w:val="006C6325"/>
    <w:rsid w:val="006C74FA"/>
    <w:rsid w:val="006D0EC6"/>
    <w:rsid w:val="006D39D0"/>
    <w:rsid w:val="006D4B4C"/>
    <w:rsid w:val="006D6C9D"/>
    <w:rsid w:val="006D7A68"/>
    <w:rsid w:val="006D7E50"/>
    <w:rsid w:val="006E0599"/>
    <w:rsid w:val="006E230C"/>
    <w:rsid w:val="006E26E4"/>
    <w:rsid w:val="006E35E2"/>
    <w:rsid w:val="006E39DC"/>
    <w:rsid w:val="006E58B8"/>
    <w:rsid w:val="006F09BA"/>
    <w:rsid w:val="006F3C1A"/>
    <w:rsid w:val="006F4687"/>
    <w:rsid w:val="006F5DBE"/>
    <w:rsid w:val="006F69CB"/>
    <w:rsid w:val="006F79C3"/>
    <w:rsid w:val="006F7F14"/>
    <w:rsid w:val="00702B38"/>
    <w:rsid w:val="00702BF0"/>
    <w:rsid w:val="00704AB3"/>
    <w:rsid w:val="007056A7"/>
    <w:rsid w:val="00707BC9"/>
    <w:rsid w:val="00712CF8"/>
    <w:rsid w:val="0071363A"/>
    <w:rsid w:val="00713F37"/>
    <w:rsid w:val="007266ED"/>
    <w:rsid w:val="007279F8"/>
    <w:rsid w:val="00727A9B"/>
    <w:rsid w:val="007303AB"/>
    <w:rsid w:val="007315DB"/>
    <w:rsid w:val="00735474"/>
    <w:rsid w:val="00735C8A"/>
    <w:rsid w:val="00737CF7"/>
    <w:rsid w:val="00741F1E"/>
    <w:rsid w:val="00743F00"/>
    <w:rsid w:val="007509C5"/>
    <w:rsid w:val="00753D8D"/>
    <w:rsid w:val="00753FA3"/>
    <w:rsid w:val="00755BB6"/>
    <w:rsid w:val="00756C8C"/>
    <w:rsid w:val="00757D4C"/>
    <w:rsid w:val="00757E50"/>
    <w:rsid w:val="00760250"/>
    <w:rsid w:val="00763DD7"/>
    <w:rsid w:val="0076656D"/>
    <w:rsid w:val="00770ED4"/>
    <w:rsid w:val="007829A4"/>
    <w:rsid w:val="00785F60"/>
    <w:rsid w:val="00787089"/>
    <w:rsid w:val="00791659"/>
    <w:rsid w:val="00794B88"/>
    <w:rsid w:val="00795591"/>
    <w:rsid w:val="007966AF"/>
    <w:rsid w:val="007A2CE0"/>
    <w:rsid w:val="007A4745"/>
    <w:rsid w:val="007A495C"/>
    <w:rsid w:val="007B13A2"/>
    <w:rsid w:val="007B1BB2"/>
    <w:rsid w:val="007B256D"/>
    <w:rsid w:val="007B27AC"/>
    <w:rsid w:val="007B2BD1"/>
    <w:rsid w:val="007B7CAF"/>
    <w:rsid w:val="007C0CD4"/>
    <w:rsid w:val="007C13ED"/>
    <w:rsid w:val="007C2D11"/>
    <w:rsid w:val="007C3050"/>
    <w:rsid w:val="007C645E"/>
    <w:rsid w:val="007C6ADC"/>
    <w:rsid w:val="007D2622"/>
    <w:rsid w:val="007D3BBF"/>
    <w:rsid w:val="007D49DA"/>
    <w:rsid w:val="007D51A4"/>
    <w:rsid w:val="007D794E"/>
    <w:rsid w:val="007E2DB6"/>
    <w:rsid w:val="007E5EDA"/>
    <w:rsid w:val="007E7C89"/>
    <w:rsid w:val="007F27B4"/>
    <w:rsid w:val="007F2EA4"/>
    <w:rsid w:val="007F44B6"/>
    <w:rsid w:val="007F6E77"/>
    <w:rsid w:val="00801573"/>
    <w:rsid w:val="00801973"/>
    <w:rsid w:val="0080252A"/>
    <w:rsid w:val="008051CA"/>
    <w:rsid w:val="00806C2E"/>
    <w:rsid w:val="00807144"/>
    <w:rsid w:val="0081024D"/>
    <w:rsid w:val="00816523"/>
    <w:rsid w:val="00817506"/>
    <w:rsid w:val="008204CA"/>
    <w:rsid w:val="008215FC"/>
    <w:rsid w:val="0082210E"/>
    <w:rsid w:val="0082291D"/>
    <w:rsid w:val="00825F9F"/>
    <w:rsid w:val="00827467"/>
    <w:rsid w:val="00831F03"/>
    <w:rsid w:val="00836A3B"/>
    <w:rsid w:val="00837766"/>
    <w:rsid w:val="008433E0"/>
    <w:rsid w:val="00850D6A"/>
    <w:rsid w:val="0085695D"/>
    <w:rsid w:val="0086223C"/>
    <w:rsid w:val="00863131"/>
    <w:rsid w:val="0086360F"/>
    <w:rsid w:val="008658A9"/>
    <w:rsid w:val="00865CD1"/>
    <w:rsid w:val="008676BC"/>
    <w:rsid w:val="00870212"/>
    <w:rsid w:val="008717F9"/>
    <w:rsid w:val="00877043"/>
    <w:rsid w:val="00884BEA"/>
    <w:rsid w:val="00884E16"/>
    <w:rsid w:val="00884F8D"/>
    <w:rsid w:val="0088682D"/>
    <w:rsid w:val="00887A29"/>
    <w:rsid w:val="008907BC"/>
    <w:rsid w:val="0089359F"/>
    <w:rsid w:val="00893B1D"/>
    <w:rsid w:val="00894140"/>
    <w:rsid w:val="00895458"/>
    <w:rsid w:val="00896A95"/>
    <w:rsid w:val="00897D47"/>
    <w:rsid w:val="008A0FF8"/>
    <w:rsid w:val="008A492F"/>
    <w:rsid w:val="008A5604"/>
    <w:rsid w:val="008A5AA2"/>
    <w:rsid w:val="008A6983"/>
    <w:rsid w:val="008A7B09"/>
    <w:rsid w:val="008B203A"/>
    <w:rsid w:val="008B250C"/>
    <w:rsid w:val="008B2625"/>
    <w:rsid w:val="008B3A9B"/>
    <w:rsid w:val="008B4941"/>
    <w:rsid w:val="008B5D7E"/>
    <w:rsid w:val="008B763F"/>
    <w:rsid w:val="008C3BF9"/>
    <w:rsid w:val="008C46B5"/>
    <w:rsid w:val="008C5160"/>
    <w:rsid w:val="008C7171"/>
    <w:rsid w:val="008D2069"/>
    <w:rsid w:val="008D49ED"/>
    <w:rsid w:val="008E0EC4"/>
    <w:rsid w:val="008E69FB"/>
    <w:rsid w:val="008F0257"/>
    <w:rsid w:val="008F1B1C"/>
    <w:rsid w:val="008F33A5"/>
    <w:rsid w:val="008F65D9"/>
    <w:rsid w:val="008F6A2C"/>
    <w:rsid w:val="009005B7"/>
    <w:rsid w:val="009020C5"/>
    <w:rsid w:val="00903BE2"/>
    <w:rsid w:val="00910EA0"/>
    <w:rsid w:val="009142FD"/>
    <w:rsid w:val="00917209"/>
    <w:rsid w:val="009177FF"/>
    <w:rsid w:val="0092196D"/>
    <w:rsid w:val="00921E3D"/>
    <w:rsid w:val="00925201"/>
    <w:rsid w:val="009275F7"/>
    <w:rsid w:val="009302E7"/>
    <w:rsid w:val="00931956"/>
    <w:rsid w:val="009341B5"/>
    <w:rsid w:val="00937C07"/>
    <w:rsid w:val="00944925"/>
    <w:rsid w:val="00946F98"/>
    <w:rsid w:val="00952724"/>
    <w:rsid w:val="009547AA"/>
    <w:rsid w:val="00955DC8"/>
    <w:rsid w:val="0095647C"/>
    <w:rsid w:val="00957439"/>
    <w:rsid w:val="00960106"/>
    <w:rsid w:val="00960FDF"/>
    <w:rsid w:val="00962B1C"/>
    <w:rsid w:val="009650CC"/>
    <w:rsid w:val="00967560"/>
    <w:rsid w:val="00970829"/>
    <w:rsid w:val="009724D2"/>
    <w:rsid w:val="00972AB9"/>
    <w:rsid w:val="00974732"/>
    <w:rsid w:val="009771C2"/>
    <w:rsid w:val="009779CF"/>
    <w:rsid w:val="00980027"/>
    <w:rsid w:val="009806F0"/>
    <w:rsid w:val="009817F4"/>
    <w:rsid w:val="00982416"/>
    <w:rsid w:val="009825AC"/>
    <w:rsid w:val="0098308A"/>
    <w:rsid w:val="00985735"/>
    <w:rsid w:val="0098620D"/>
    <w:rsid w:val="009A16F5"/>
    <w:rsid w:val="009A232C"/>
    <w:rsid w:val="009A2922"/>
    <w:rsid w:val="009A7CB3"/>
    <w:rsid w:val="009B0042"/>
    <w:rsid w:val="009B2D5C"/>
    <w:rsid w:val="009B3D5C"/>
    <w:rsid w:val="009C3EEC"/>
    <w:rsid w:val="009C691B"/>
    <w:rsid w:val="009C77B5"/>
    <w:rsid w:val="009D0730"/>
    <w:rsid w:val="009D1895"/>
    <w:rsid w:val="009D207E"/>
    <w:rsid w:val="009D3716"/>
    <w:rsid w:val="009D7ECD"/>
    <w:rsid w:val="009E0761"/>
    <w:rsid w:val="009E142C"/>
    <w:rsid w:val="009E22CD"/>
    <w:rsid w:val="009E2C26"/>
    <w:rsid w:val="009E4FFA"/>
    <w:rsid w:val="009E5019"/>
    <w:rsid w:val="009E73D1"/>
    <w:rsid w:val="009E79CA"/>
    <w:rsid w:val="009E7FD3"/>
    <w:rsid w:val="009F1670"/>
    <w:rsid w:val="009F20EB"/>
    <w:rsid w:val="00A01F35"/>
    <w:rsid w:val="00A02756"/>
    <w:rsid w:val="00A03270"/>
    <w:rsid w:val="00A03DB5"/>
    <w:rsid w:val="00A06EFE"/>
    <w:rsid w:val="00A10B3E"/>
    <w:rsid w:val="00A116DB"/>
    <w:rsid w:val="00A164C2"/>
    <w:rsid w:val="00A175DA"/>
    <w:rsid w:val="00A176A9"/>
    <w:rsid w:val="00A20FBE"/>
    <w:rsid w:val="00A2224C"/>
    <w:rsid w:val="00A267E4"/>
    <w:rsid w:val="00A26B62"/>
    <w:rsid w:val="00A32059"/>
    <w:rsid w:val="00A3279B"/>
    <w:rsid w:val="00A32904"/>
    <w:rsid w:val="00A3362F"/>
    <w:rsid w:val="00A33942"/>
    <w:rsid w:val="00A3564F"/>
    <w:rsid w:val="00A40CF6"/>
    <w:rsid w:val="00A41E3C"/>
    <w:rsid w:val="00A47158"/>
    <w:rsid w:val="00A47EE4"/>
    <w:rsid w:val="00A50143"/>
    <w:rsid w:val="00A5593A"/>
    <w:rsid w:val="00A55D2D"/>
    <w:rsid w:val="00A56C20"/>
    <w:rsid w:val="00A56CDA"/>
    <w:rsid w:val="00A56D8F"/>
    <w:rsid w:val="00A63B80"/>
    <w:rsid w:val="00A650C1"/>
    <w:rsid w:val="00A672FF"/>
    <w:rsid w:val="00A7200A"/>
    <w:rsid w:val="00A728AA"/>
    <w:rsid w:val="00A730B9"/>
    <w:rsid w:val="00A7439C"/>
    <w:rsid w:val="00A7507E"/>
    <w:rsid w:val="00A772E4"/>
    <w:rsid w:val="00A77D8B"/>
    <w:rsid w:val="00A816A1"/>
    <w:rsid w:val="00A839CF"/>
    <w:rsid w:val="00A84C69"/>
    <w:rsid w:val="00A84EE8"/>
    <w:rsid w:val="00A87ABE"/>
    <w:rsid w:val="00A9169E"/>
    <w:rsid w:val="00A946F4"/>
    <w:rsid w:val="00A947C2"/>
    <w:rsid w:val="00A957D3"/>
    <w:rsid w:val="00A97094"/>
    <w:rsid w:val="00A97D97"/>
    <w:rsid w:val="00AA0160"/>
    <w:rsid w:val="00AA1C0D"/>
    <w:rsid w:val="00AA3616"/>
    <w:rsid w:val="00AA4A54"/>
    <w:rsid w:val="00AA5D8E"/>
    <w:rsid w:val="00AB40A7"/>
    <w:rsid w:val="00AC0302"/>
    <w:rsid w:val="00AC05A6"/>
    <w:rsid w:val="00AC0A4D"/>
    <w:rsid w:val="00AC2350"/>
    <w:rsid w:val="00AC2A2F"/>
    <w:rsid w:val="00AC6222"/>
    <w:rsid w:val="00AC6390"/>
    <w:rsid w:val="00AD194B"/>
    <w:rsid w:val="00AD207C"/>
    <w:rsid w:val="00AD2FA9"/>
    <w:rsid w:val="00AD535F"/>
    <w:rsid w:val="00AD58D8"/>
    <w:rsid w:val="00AD5C5D"/>
    <w:rsid w:val="00AD61B5"/>
    <w:rsid w:val="00AE203D"/>
    <w:rsid w:val="00AE213F"/>
    <w:rsid w:val="00AE3477"/>
    <w:rsid w:val="00AE55EF"/>
    <w:rsid w:val="00AE732E"/>
    <w:rsid w:val="00AF22CC"/>
    <w:rsid w:val="00AF4241"/>
    <w:rsid w:val="00AF4993"/>
    <w:rsid w:val="00B013BC"/>
    <w:rsid w:val="00B02232"/>
    <w:rsid w:val="00B03B56"/>
    <w:rsid w:val="00B06BCA"/>
    <w:rsid w:val="00B076AC"/>
    <w:rsid w:val="00B119A9"/>
    <w:rsid w:val="00B15278"/>
    <w:rsid w:val="00B174B8"/>
    <w:rsid w:val="00B2270A"/>
    <w:rsid w:val="00B2295E"/>
    <w:rsid w:val="00B237B5"/>
    <w:rsid w:val="00B277DD"/>
    <w:rsid w:val="00B27DE4"/>
    <w:rsid w:val="00B356CC"/>
    <w:rsid w:val="00B35AB5"/>
    <w:rsid w:val="00B360C4"/>
    <w:rsid w:val="00B36E76"/>
    <w:rsid w:val="00B3774F"/>
    <w:rsid w:val="00B403D1"/>
    <w:rsid w:val="00B41BA4"/>
    <w:rsid w:val="00B42CBD"/>
    <w:rsid w:val="00B43563"/>
    <w:rsid w:val="00B43EAB"/>
    <w:rsid w:val="00B5040F"/>
    <w:rsid w:val="00B51CC8"/>
    <w:rsid w:val="00B555A7"/>
    <w:rsid w:val="00B61F58"/>
    <w:rsid w:val="00B65EEC"/>
    <w:rsid w:val="00B802A2"/>
    <w:rsid w:val="00B80C12"/>
    <w:rsid w:val="00B83385"/>
    <w:rsid w:val="00B83DD8"/>
    <w:rsid w:val="00B84C23"/>
    <w:rsid w:val="00B86F54"/>
    <w:rsid w:val="00B9195D"/>
    <w:rsid w:val="00B95304"/>
    <w:rsid w:val="00B963CE"/>
    <w:rsid w:val="00B968CF"/>
    <w:rsid w:val="00BA081A"/>
    <w:rsid w:val="00BA164C"/>
    <w:rsid w:val="00BA317E"/>
    <w:rsid w:val="00BA3D1E"/>
    <w:rsid w:val="00BA71FB"/>
    <w:rsid w:val="00BB0E21"/>
    <w:rsid w:val="00BB179D"/>
    <w:rsid w:val="00BB4C71"/>
    <w:rsid w:val="00BC11CA"/>
    <w:rsid w:val="00BC12C8"/>
    <w:rsid w:val="00BC156A"/>
    <w:rsid w:val="00BC2F69"/>
    <w:rsid w:val="00BC6BF2"/>
    <w:rsid w:val="00BD112C"/>
    <w:rsid w:val="00BD128F"/>
    <w:rsid w:val="00BD1F5B"/>
    <w:rsid w:val="00BD29F7"/>
    <w:rsid w:val="00BD2B14"/>
    <w:rsid w:val="00BD4423"/>
    <w:rsid w:val="00BD49CD"/>
    <w:rsid w:val="00BD689D"/>
    <w:rsid w:val="00BD7051"/>
    <w:rsid w:val="00BD7562"/>
    <w:rsid w:val="00BD776E"/>
    <w:rsid w:val="00BE0D7D"/>
    <w:rsid w:val="00BE1217"/>
    <w:rsid w:val="00BE37B5"/>
    <w:rsid w:val="00BE49C7"/>
    <w:rsid w:val="00BF299C"/>
    <w:rsid w:val="00BF66E8"/>
    <w:rsid w:val="00BF6C8D"/>
    <w:rsid w:val="00BF75C5"/>
    <w:rsid w:val="00C00B7B"/>
    <w:rsid w:val="00C01111"/>
    <w:rsid w:val="00C02510"/>
    <w:rsid w:val="00C02907"/>
    <w:rsid w:val="00C040E2"/>
    <w:rsid w:val="00C04933"/>
    <w:rsid w:val="00C05F75"/>
    <w:rsid w:val="00C113C6"/>
    <w:rsid w:val="00C13A6E"/>
    <w:rsid w:val="00C15006"/>
    <w:rsid w:val="00C20FB6"/>
    <w:rsid w:val="00C24D14"/>
    <w:rsid w:val="00C260DE"/>
    <w:rsid w:val="00C26BD3"/>
    <w:rsid w:val="00C3182E"/>
    <w:rsid w:val="00C323F7"/>
    <w:rsid w:val="00C343C6"/>
    <w:rsid w:val="00C35436"/>
    <w:rsid w:val="00C35C67"/>
    <w:rsid w:val="00C35E01"/>
    <w:rsid w:val="00C362D6"/>
    <w:rsid w:val="00C4275B"/>
    <w:rsid w:val="00C4327A"/>
    <w:rsid w:val="00C45830"/>
    <w:rsid w:val="00C46712"/>
    <w:rsid w:val="00C47F23"/>
    <w:rsid w:val="00C51CF4"/>
    <w:rsid w:val="00C53617"/>
    <w:rsid w:val="00C550F3"/>
    <w:rsid w:val="00C56448"/>
    <w:rsid w:val="00C6281F"/>
    <w:rsid w:val="00C62B85"/>
    <w:rsid w:val="00C62BD4"/>
    <w:rsid w:val="00C63339"/>
    <w:rsid w:val="00C64B78"/>
    <w:rsid w:val="00C64D11"/>
    <w:rsid w:val="00C66589"/>
    <w:rsid w:val="00C66812"/>
    <w:rsid w:val="00C66ADE"/>
    <w:rsid w:val="00C66C39"/>
    <w:rsid w:val="00C66D1C"/>
    <w:rsid w:val="00C67128"/>
    <w:rsid w:val="00C71704"/>
    <w:rsid w:val="00C71FE8"/>
    <w:rsid w:val="00C72420"/>
    <w:rsid w:val="00C72745"/>
    <w:rsid w:val="00C72B84"/>
    <w:rsid w:val="00C7669D"/>
    <w:rsid w:val="00C80631"/>
    <w:rsid w:val="00C810B6"/>
    <w:rsid w:val="00C81133"/>
    <w:rsid w:val="00C8253F"/>
    <w:rsid w:val="00C836A4"/>
    <w:rsid w:val="00C85F9B"/>
    <w:rsid w:val="00C86307"/>
    <w:rsid w:val="00C91C0C"/>
    <w:rsid w:val="00C91E29"/>
    <w:rsid w:val="00C9253D"/>
    <w:rsid w:val="00C94E9B"/>
    <w:rsid w:val="00C969C6"/>
    <w:rsid w:val="00C97F17"/>
    <w:rsid w:val="00CA0D1B"/>
    <w:rsid w:val="00CA37C9"/>
    <w:rsid w:val="00CA61E9"/>
    <w:rsid w:val="00CA686E"/>
    <w:rsid w:val="00CA6904"/>
    <w:rsid w:val="00CB0D9F"/>
    <w:rsid w:val="00CB2394"/>
    <w:rsid w:val="00CB3B74"/>
    <w:rsid w:val="00CB441D"/>
    <w:rsid w:val="00CB51C5"/>
    <w:rsid w:val="00CB5564"/>
    <w:rsid w:val="00CC087B"/>
    <w:rsid w:val="00CC0AD5"/>
    <w:rsid w:val="00CC131F"/>
    <w:rsid w:val="00CC3436"/>
    <w:rsid w:val="00CC4416"/>
    <w:rsid w:val="00CC49F1"/>
    <w:rsid w:val="00CC7484"/>
    <w:rsid w:val="00CD25EF"/>
    <w:rsid w:val="00CD404D"/>
    <w:rsid w:val="00CD5701"/>
    <w:rsid w:val="00CD6DC7"/>
    <w:rsid w:val="00CE1705"/>
    <w:rsid w:val="00CE1A05"/>
    <w:rsid w:val="00CE4595"/>
    <w:rsid w:val="00CE6E3B"/>
    <w:rsid w:val="00CE72C9"/>
    <w:rsid w:val="00CE7411"/>
    <w:rsid w:val="00CF104C"/>
    <w:rsid w:val="00CF1A1B"/>
    <w:rsid w:val="00CF1B7B"/>
    <w:rsid w:val="00CF3750"/>
    <w:rsid w:val="00CF38B3"/>
    <w:rsid w:val="00CF3BC9"/>
    <w:rsid w:val="00D0132C"/>
    <w:rsid w:val="00D04B9C"/>
    <w:rsid w:val="00D0526B"/>
    <w:rsid w:val="00D06F26"/>
    <w:rsid w:val="00D11B81"/>
    <w:rsid w:val="00D12772"/>
    <w:rsid w:val="00D127D3"/>
    <w:rsid w:val="00D15DAC"/>
    <w:rsid w:val="00D15E93"/>
    <w:rsid w:val="00D17CBB"/>
    <w:rsid w:val="00D20461"/>
    <w:rsid w:val="00D206D7"/>
    <w:rsid w:val="00D22C3A"/>
    <w:rsid w:val="00D24808"/>
    <w:rsid w:val="00D24A87"/>
    <w:rsid w:val="00D264D0"/>
    <w:rsid w:val="00D27275"/>
    <w:rsid w:val="00D325F5"/>
    <w:rsid w:val="00D32987"/>
    <w:rsid w:val="00D374E8"/>
    <w:rsid w:val="00D40E2E"/>
    <w:rsid w:val="00D40FF7"/>
    <w:rsid w:val="00D421A2"/>
    <w:rsid w:val="00D51528"/>
    <w:rsid w:val="00D51CA0"/>
    <w:rsid w:val="00D520C4"/>
    <w:rsid w:val="00D534B4"/>
    <w:rsid w:val="00D551D4"/>
    <w:rsid w:val="00D5636B"/>
    <w:rsid w:val="00D56DF0"/>
    <w:rsid w:val="00D60262"/>
    <w:rsid w:val="00D60F13"/>
    <w:rsid w:val="00D63A62"/>
    <w:rsid w:val="00D65422"/>
    <w:rsid w:val="00D66C07"/>
    <w:rsid w:val="00D677CF"/>
    <w:rsid w:val="00D70298"/>
    <w:rsid w:val="00D707DC"/>
    <w:rsid w:val="00D71199"/>
    <w:rsid w:val="00D71344"/>
    <w:rsid w:val="00D72072"/>
    <w:rsid w:val="00D724DC"/>
    <w:rsid w:val="00D76249"/>
    <w:rsid w:val="00D801AE"/>
    <w:rsid w:val="00D80EEC"/>
    <w:rsid w:val="00D8184D"/>
    <w:rsid w:val="00D82BB5"/>
    <w:rsid w:val="00D82CD1"/>
    <w:rsid w:val="00D842F5"/>
    <w:rsid w:val="00D84472"/>
    <w:rsid w:val="00D849C1"/>
    <w:rsid w:val="00D92261"/>
    <w:rsid w:val="00D92561"/>
    <w:rsid w:val="00D945D0"/>
    <w:rsid w:val="00D9490B"/>
    <w:rsid w:val="00DA2733"/>
    <w:rsid w:val="00DA3E3F"/>
    <w:rsid w:val="00DA47F9"/>
    <w:rsid w:val="00DB1AB1"/>
    <w:rsid w:val="00DB5F31"/>
    <w:rsid w:val="00DB7E8A"/>
    <w:rsid w:val="00DC1814"/>
    <w:rsid w:val="00DC4CF5"/>
    <w:rsid w:val="00DC55CB"/>
    <w:rsid w:val="00DC654A"/>
    <w:rsid w:val="00DC71B8"/>
    <w:rsid w:val="00DD0CF5"/>
    <w:rsid w:val="00DD18E0"/>
    <w:rsid w:val="00DD2FFC"/>
    <w:rsid w:val="00DD38A0"/>
    <w:rsid w:val="00DD5769"/>
    <w:rsid w:val="00DD796A"/>
    <w:rsid w:val="00DE24EB"/>
    <w:rsid w:val="00DE4429"/>
    <w:rsid w:val="00DF0FE8"/>
    <w:rsid w:val="00E00E93"/>
    <w:rsid w:val="00E01261"/>
    <w:rsid w:val="00E04E81"/>
    <w:rsid w:val="00E05446"/>
    <w:rsid w:val="00E12364"/>
    <w:rsid w:val="00E12FA2"/>
    <w:rsid w:val="00E13EF4"/>
    <w:rsid w:val="00E15DE4"/>
    <w:rsid w:val="00E15DFC"/>
    <w:rsid w:val="00E237FE"/>
    <w:rsid w:val="00E270D2"/>
    <w:rsid w:val="00E32615"/>
    <w:rsid w:val="00E344C3"/>
    <w:rsid w:val="00E34519"/>
    <w:rsid w:val="00E3467D"/>
    <w:rsid w:val="00E41156"/>
    <w:rsid w:val="00E43461"/>
    <w:rsid w:val="00E4563E"/>
    <w:rsid w:val="00E45B46"/>
    <w:rsid w:val="00E46A19"/>
    <w:rsid w:val="00E47039"/>
    <w:rsid w:val="00E47D7E"/>
    <w:rsid w:val="00E51334"/>
    <w:rsid w:val="00E51DC7"/>
    <w:rsid w:val="00E563B9"/>
    <w:rsid w:val="00E56C86"/>
    <w:rsid w:val="00E6157E"/>
    <w:rsid w:val="00E670B4"/>
    <w:rsid w:val="00E67146"/>
    <w:rsid w:val="00E67618"/>
    <w:rsid w:val="00E6770B"/>
    <w:rsid w:val="00E70D9D"/>
    <w:rsid w:val="00E71928"/>
    <w:rsid w:val="00E72D73"/>
    <w:rsid w:val="00E760F4"/>
    <w:rsid w:val="00E81E63"/>
    <w:rsid w:val="00E81E8C"/>
    <w:rsid w:val="00E86406"/>
    <w:rsid w:val="00E86D17"/>
    <w:rsid w:val="00E91141"/>
    <w:rsid w:val="00E96641"/>
    <w:rsid w:val="00E974DE"/>
    <w:rsid w:val="00EA1E73"/>
    <w:rsid w:val="00EB0A2B"/>
    <w:rsid w:val="00EB19FF"/>
    <w:rsid w:val="00EB2378"/>
    <w:rsid w:val="00EB40F6"/>
    <w:rsid w:val="00EB5804"/>
    <w:rsid w:val="00EB6C9D"/>
    <w:rsid w:val="00EB764E"/>
    <w:rsid w:val="00EB7CDD"/>
    <w:rsid w:val="00EC02BF"/>
    <w:rsid w:val="00EC1D7C"/>
    <w:rsid w:val="00EC5271"/>
    <w:rsid w:val="00EC5A00"/>
    <w:rsid w:val="00EC66F4"/>
    <w:rsid w:val="00ED16A5"/>
    <w:rsid w:val="00ED2E4F"/>
    <w:rsid w:val="00ED56EF"/>
    <w:rsid w:val="00EE4AAF"/>
    <w:rsid w:val="00EF115F"/>
    <w:rsid w:val="00EF25C2"/>
    <w:rsid w:val="00EF347D"/>
    <w:rsid w:val="00EF4703"/>
    <w:rsid w:val="00EF4982"/>
    <w:rsid w:val="00EF58E3"/>
    <w:rsid w:val="00F015B1"/>
    <w:rsid w:val="00F02E4A"/>
    <w:rsid w:val="00F03373"/>
    <w:rsid w:val="00F043C2"/>
    <w:rsid w:val="00F05251"/>
    <w:rsid w:val="00F100D8"/>
    <w:rsid w:val="00F10E54"/>
    <w:rsid w:val="00F12D55"/>
    <w:rsid w:val="00F14041"/>
    <w:rsid w:val="00F1426C"/>
    <w:rsid w:val="00F17269"/>
    <w:rsid w:val="00F20925"/>
    <w:rsid w:val="00F215D3"/>
    <w:rsid w:val="00F23F6A"/>
    <w:rsid w:val="00F25B9C"/>
    <w:rsid w:val="00F26C9E"/>
    <w:rsid w:val="00F27A39"/>
    <w:rsid w:val="00F27ACC"/>
    <w:rsid w:val="00F30134"/>
    <w:rsid w:val="00F30E48"/>
    <w:rsid w:val="00F33BF9"/>
    <w:rsid w:val="00F33C99"/>
    <w:rsid w:val="00F371C2"/>
    <w:rsid w:val="00F41B58"/>
    <w:rsid w:val="00F42DBE"/>
    <w:rsid w:val="00F42F77"/>
    <w:rsid w:val="00F466A8"/>
    <w:rsid w:val="00F512A2"/>
    <w:rsid w:val="00F54667"/>
    <w:rsid w:val="00F54FBB"/>
    <w:rsid w:val="00F550E3"/>
    <w:rsid w:val="00F568A7"/>
    <w:rsid w:val="00F5698D"/>
    <w:rsid w:val="00F62BA9"/>
    <w:rsid w:val="00F6334E"/>
    <w:rsid w:val="00F65740"/>
    <w:rsid w:val="00F70A61"/>
    <w:rsid w:val="00F71A4B"/>
    <w:rsid w:val="00F723A0"/>
    <w:rsid w:val="00F73F69"/>
    <w:rsid w:val="00F765E8"/>
    <w:rsid w:val="00F77B12"/>
    <w:rsid w:val="00F84055"/>
    <w:rsid w:val="00F84E19"/>
    <w:rsid w:val="00F85010"/>
    <w:rsid w:val="00F853B6"/>
    <w:rsid w:val="00F96161"/>
    <w:rsid w:val="00F96475"/>
    <w:rsid w:val="00FA08C8"/>
    <w:rsid w:val="00FA1B7B"/>
    <w:rsid w:val="00FA268B"/>
    <w:rsid w:val="00FA2B8C"/>
    <w:rsid w:val="00FA5FA5"/>
    <w:rsid w:val="00FA7010"/>
    <w:rsid w:val="00FB2857"/>
    <w:rsid w:val="00FB31F6"/>
    <w:rsid w:val="00FB4266"/>
    <w:rsid w:val="00FB632A"/>
    <w:rsid w:val="00FC765B"/>
    <w:rsid w:val="00FD3BF5"/>
    <w:rsid w:val="00FD3F21"/>
    <w:rsid w:val="00FD6EB5"/>
    <w:rsid w:val="00FE1749"/>
    <w:rsid w:val="00FE2311"/>
    <w:rsid w:val="00FE289C"/>
    <w:rsid w:val="00FE55C7"/>
    <w:rsid w:val="00FE585C"/>
    <w:rsid w:val="00FE767D"/>
    <w:rsid w:val="00FE7C0A"/>
    <w:rsid w:val="00FF10C7"/>
    <w:rsid w:val="00FF3B94"/>
    <w:rsid w:val="00FF6F1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C44C5"/>
  <w15:chartTrackingRefBased/>
  <w15:docId w15:val="{43652DDC-6E8D-4437-B700-28B5B0043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sz w:val="22"/>
        <w:szCs w:val="22"/>
        <w:lang w:val="lt-LT"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6B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E55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A71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A39"/>
    <w:pPr>
      <w:ind w:left="720"/>
      <w:contextualSpacing/>
    </w:pPr>
  </w:style>
  <w:style w:type="character" w:styleId="CommentReference">
    <w:name w:val="annotation reference"/>
    <w:basedOn w:val="DefaultParagraphFont"/>
    <w:uiPriority w:val="99"/>
    <w:semiHidden/>
    <w:unhideWhenUsed/>
    <w:rsid w:val="00CB5564"/>
    <w:rPr>
      <w:sz w:val="16"/>
      <w:szCs w:val="16"/>
    </w:rPr>
  </w:style>
  <w:style w:type="paragraph" w:styleId="CommentText">
    <w:name w:val="annotation text"/>
    <w:basedOn w:val="Normal"/>
    <w:link w:val="CommentTextChar"/>
    <w:uiPriority w:val="99"/>
    <w:unhideWhenUsed/>
    <w:rsid w:val="00CB5564"/>
    <w:rPr>
      <w:sz w:val="20"/>
      <w:szCs w:val="20"/>
    </w:rPr>
  </w:style>
  <w:style w:type="character" w:customStyle="1" w:styleId="CommentTextChar">
    <w:name w:val="Comment Text Char"/>
    <w:basedOn w:val="DefaultParagraphFont"/>
    <w:link w:val="CommentText"/>
    <w:uiPriority w:val="99"/>
    <w:rsid w:val="00CB5564"/>
    <w:rPr>
      <w:sz w:val="20"/>
      <w:szCs w:val="20"/>
    </w:rPr>
  </w:style>
  <w:style w:type="paragraph" w:styleId="CommentSubject">
    <w:name w:val="annotation subject"/>
    <w:basedOn w:val="CommentText"/>
    <w:next w:val="CommentText"/>
    <w:link w:val="CommentSubjectChar"/>
    <w:uiPriority w:val="99"/>
    <w:semiHidden/>
    <w:unhideWhenUsed/>
    <w:rsid w:val="00CB5564"/>
    <w:rPr>
      <w:b/>
      <w:bCs/>
    </w:rPr>
  </w:style>
  <w:style w:type="character" w:customStyle="1" w:styleId="CommentSubjectChar">
    <w:name w:val="Comment Subject Char"/>
    <w:basedOn w:val="CommentTextChar"/>
    <w:link w:val="CommentSubject"/>
    <w:uiPriority w:val="99"/>
    <w:semiHidden/>
    <w:rsid w:val="00CB5564"/>
    <w:rPr>
      <w:b/>
      <w:bCs/>
      <w:sz w:val="20"/>
      <w:szCs w:val="20"/>
    </w:rPr>
  </w:style>
  <w:style w:type="paragraph" w:styleId="BalloonText">
    <w:name w:val="Balloon Text"/>
    <w:basedOn w:val="Normal"/>
    <w:link w:val="BalloonTextChar"/>
    <w:uiPriority w:val="99"/>
    <w:semiHidden/>
    <w:unhideWhenUsed/>
    <w:rsid w:val="00CB5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564"/>
    <w:rPr>
      <w:rFonts w:ascii="Segoe UI" w:hAnsi="Segoe UI" w:cs="Segoe UI"/>
      <w:sz w:val="18"/>
      <w:szCs w:val="18"/>
    </w:rPr>
  </w:style>
  <w:style w:type="paragraph" w:styleId="Header">
    <w:name w:val="header"/>
    <w:basedOn w:val="Normal"/>
    <w:link w:val="HeaderChar"/>
    <w:uiPriority w:val="99"/>
    <w:unhideWhenUsed/>
    <w:rsid w:val="00404A94"/>
    <w:pPr>
      <w:tabs>
        <w:tab w:val="center" w:pos="4819"/>
        <w:tab w:val="right" w:pos="9638"/>
      </w:tabs>
      <w:spacing w:after="0"/>
    </w:pPr>
  </w:style>
  <w:style w:type="character" w:customStyle="1" w:styleId="HeaderChar">
    <w:name w:val="Header Char"/>
    <w:basedOn w:val="DefaultParagraphFont"/>
    <w:link w:val="Header"/>
    <w:uiPriority w:val="99"/>
    <w:rsid w:val="00404A94"/>
  </w:style>
  <w:style w:type="paragraph" w:styleId="Footer">
    <w:name w:val="footer"/>
    <w:basedOn w:val="Normal"/>
    <w:link w:val="FooterChar"/>
    <w:uiPriority w:val="99"/>
    <w:unhideWhenUsed/>
    <w:rsid w:val="00404A94"/>
    <w:pPr>
      <w:tabs>
        <w:tab w:val="center" w:pos="4819"/>
        <w:tab w:val="right" w:pos="9638"/>
      </w:tabs>
      <w:spacing w:after="0"/>
    </w:pPr>
  </w:style>
  <w:style w:type="character" w:customStyle="1" w:styleId="FooterChar">
    <w:name w:val="Footer Char"/>
    <w:basedOn w:val="DefaultParagraphFont"/>
    <w:link w:val="Footer"/>
    <w:uiPriority w:val="99"/>
    <w:rsid w:val="00404A94"/>
  </w:style>
  <w:style w:type="character" w:styleId="Hyperlink">
    <w:name w:val="Hyperlink"/>
    <w:uiPriority w:val="99"/>
    <w:unhideWhenUsed/>
    <w:rsid w:val="00404A94"/>
    <w:rPr>
      <w:color w:val="0563C1"/>
      <w:u w:val="single"/>
    </w:rPr>
  </w:style>
  <w:style w:type="character" w:customStyle="1" w:styleId="UnresolvedMention1">
    <w:name w:val="Unresolved Mention1"/>
    <w:basedOn w:val="DefaultParagraphFont"/>
    <w:uiPriority w:val="99"/>
    <w:semiHidden/>
    <w:unhideWhenUsed/>
    <w:rsid w:val="00FC765B"/>
    <w:rPr>
      <w:color w:val="808080"/>
      <w:shd w:val="clear" w:color="auto" w:fill="E6E6E6"/>
    </w:rPr>
  </w:style>
  <w:style w:type="character" w:customStyle="1" w:styleId="Heading1Char">
    <w:name w:val="Heading 1 Char"/>
    <w:basedOn w:val="DefaultParagraphFont"/>
    <w:link w:val="Heading1"/>
    <w:uiPriority w:val="9"/>
    <w:rsid w:val="00C26B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E55C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FE55C7"/>
    <w:rPr>
      <w:color w:val="954F72" w:themeColor="followedHyperlink"/>
      <w:u w:val="single"/>
    </w:rPr>
  </w:style>
  <w:style w:type="character" w:styleId="Strong">
    <w:name w:val="Strong"/>
    <w:basedOn w:val="DefaultParagraphFont"/>
    <w:uiPriority w:val="22"/>
    <w:qFormat/>
    <w:rsid w:val="007B27AC"/>
    <w:rPr>
      <w:b/>
      <w:bCs/>
    </w:rPr>
  </w:style>
  <w:style w:type="character" w:customStyle="1" w:styleId="Heading3Char">
    <w:name w:val="Heading 3 Char"/>
    <w:basedOn w:val="DefaultParagraphFont"/>
    <w:link w:val="Heading3"/>
    <w:uiPriority w:val="9"/>
    <w:semiHidden/>
    <w:rsid w:val="002A71A6"/>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456AEB"/>
    <w:pPr>
      <w:spacing w:after="0"/>
    </w:pPr>
    <w:rPr>
      <w:sz w:val="20"/>
      <w:szCs w:val="20"/>
    </w:rPr>
  </w:style>
  <w:style w:type="character" w:customStyle="1" w:styleId="FootnoteTextChar">
    <w:name w:val="Footnote Text Char"/>
    <w:basedOn w:val="DefaultParagraphFont"/>
    <w:link w:val="FootnoteText"/>
    <w:uiPriority w:val="99"/>
    <w:semiHidden/>
    <w:rsid w:val="00456AEB"/>
    <w:rPr>
      <w:sz w:val="20"/>
      <w:szCs w:val="20"/>
    </w:rPr>
  </w:style>
  <w:style w:type="character" w:styleId="FootnoteReference">
    <w:name w:val="footnote reference"/>
    <w:basedOn w:val="DefaultParagraphFont"/>
    <w:uiPriority w:val="99"/>
    <w:semiHidden/>
    <w:unhideWhenUsed/>
    <w:rsid w:val="00456AEB"/>
    <w:rPr>
      <w:vertAlign w:val="superscript"/>
    </w:rPr>
  </w:style>
  <w:style w:type="character" w:styleId="UnresolvedMention">
    <w:name w:val="Unresolved Mention"/>
    <w:basedOn w:val="DefaultParagraphFont"/>
    <w:uiPriority w:val="99"/>
    <w:semiHidden/>
    <w:unhideWhenUsed/>
    <w:rsid w:val="004521F4"/>
    <w:rPr>
      <w:color w:val="605E5C"/>
      <w:shd w:val="clear" w:color="auto" w:fill="E1DFDD"/>
    </w:rPr>
  </w:style>
  <w:style w:type="paragraph" w:styleId="Revision">
    <w:name w:val="Revision"/>
    <w:hidden/>
    <w:uiPriority w:val="99"/>
    <w:semiHidden/>
    <w:rsid w:val="00831F03"/>
    <w:pPr>
      <w:spacing w:after="0"/>
      <w:jc w:val="left"/>
    </w:pPr>
  </w:style>
  <w:style w:type="paragraph" w:styleId="Title">
    <w:name w:val="Title"/>
    <w:basedOn w:val="Normal"/>
    <w:next w:val="Normal"/>
    <w:link w:val="TitleChar"/>
    <w:uiPriority w:val="10"/>
    <w:qFormat/>
    <w:rsid w:val="005923D2"/>
    <w:pPr>
      <w:keepNext/>
      <w:keepLines/>
      <w:spacing w:after="60" w:line="276" w:lineRule="auto"/>
      <w:jc w:val="left"/>
    </w:pPr>
    <w:rPr>
      <w:rFonts w:ascii="Arial" w:eastAsia="Arial" w:hAnsi="Arial" w:cs="Arial"/>
      <w:sz w:val="52"/>
      <w:szCs w:val="52"/>
      <w:lang w:val="lt" w:eastAsia="en-GB"/>
    </w:rPr>
  </w:style>
  <w:style w:type="character" w:customStyle="1" w:styleId="TitleChar">
    <w:name w:val="Title Char"/>
    <w:basedOn w:val="DefaultParagraphFont"/>
    <w:link w:val="Title"/>
    <w:uiPriority w:val="10"/>
    <w:rsid w:val="005923D2"/>
    <w:rPr>
      <w:rFonts w:ascii="Arial" w:eastAsia="Arial" w:hAnsi="Arial" w:cs="Arial"/>
      <w:sz w:val="52"/>
      <w:szCs w:val="52"/>
      <w:lang w:val="lt" w:eastAsia="en-GB"/>
    </w:rPr>
  </w:style>
  <w:style w:type="paragraph" w:customStyle="1" w:styleId="m-3097494929686872870msolistparagraph">
    <w:name w:val="m_-3097494929686872870msolistparagraph"/>
    <w:basedOn w:val="Normal"/>
    <w:rsid w:val="00B403D1"/>
    <w:pPr>
      <w:spacing w:before="100" w:beforeAutospacing="1" w:after="100" w:afterAutospacing="1"/>
      <w:jc w:val="left"/>
    </w:pPr>
    <w:rPr>
      <w:rFonts w:ascii="Times New Roman" w:eastAsia="Times New Roman" w:hAnsi="Times New Roman" w:cs="Times New Roman"/>
      <w:sz w:val="24"/>
      <w:szCs w:val="24"/>
      <w:lang w:val="en-LT" w:eastAsia="en-GB"/>
    </w:rPr>
  </w:style>
  <w:style w:type="character" w:customStyle="1" w:styleId="ui-provider">
    <w:name w:val="ui-provider"/>
    <w:basedOn w:val="DefaultParagraphFont"/>
    <w:rsid w:val="00B61F58"/>
  </w:style>
  <w:style w:type="character" w:customStyle="1" w:styleId="hgkelc">
    <w:name w:val="hgkelc"/>
    <w:basedOn w:val="DefaultParagraphFont"/>
    <w:rsid w:val="00B61F58"/>
  </w:style>
  <w:style w:type="table" w:styleId="TableGrid">
    <w:name w:val="Table Grid"/>
    <w:basedOn w:val="TableNormal"/>
    <w:uiPriority w:val="39"/>
    <w:rsid w:val="00220C7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2143">
      <w:bodyDiv w:val="1"/>
      <w:marLeft w:val="0"/>
      <w:marRight w:val="0"/>
      <w:marTop w:val="0"/>
      <w:marBottom w:val="0"/>
      <w:divBdr>
        <w:top w:val="none" w:sz="0" w:space="0" w:color="auto"/>
        <w:left w:val="none" w:sz="0" w:space="0" w:color="auto"/>
        <w:bottom w:val="none" w:sz="0" w:space="0" w:color="auto"/>
        <w:right w:val="none" w:sz="0" w:space="0" w:color="auto"/>
      </w:divBdr>
    </w:div>
    <w:div w:id="111443435">
      <w:bodyDiv w:val="1"/>
      <w:marLeft w:val="0"/>
      <w:marRight w:val="0"/>
      <w:marTop w:val="0"/>
      <w:marBottom w:val="0"/>
      <w:divBdr>
        <w:top w:val="none" w:sz="0" w:space="0" w:color="auto"/>
        <w:left w:val="none" w:sz="0" w:space="0" w:color="auto"/>
        <w:bottom w:val="none" w:sz="0" w:space="0" w:color="auto"/>
        <w:right w:val="none" w:sz="0" w:space="0" w:color="auto"/>
      </w:divBdr>
    </w:div>
    <w:div w:id="128940501">
      <w:bodyDiv w:val="1"/>
      <w:marLeft w:val="0"/>
      <w:marRight w:val="0"/>
      <w:marTop w:val="0"/>
      <w:marBottom w:val="0"/>
      <w:divBdr>
        <w:top w:val="none" w:sz="0" w:space="0" w:color="auto"/>
        <w:left w:val="none" w:sz="0" w:space="0" w:color="auto"/>
        <w:bottom w:val="none" w:sz="0" w:space="0" w:color="auto"/>
        <w:right w:val="none" w:sz="0" w:space="0" w:color="auto"/>
      </w:divBdr>
    </w:div>
    <w:div w:id="154153574">
      <w:bodyDiv w:val="1"/>
      <w:marLeft w:val="0"/>
      <w:marRight w:val="0"/>
      <w:marTop w:val="0"/>
      <w:marBottom w:val="0"/>
      <w:divBdr>
        <w:top w:val="none" w:sz="0" w:space="0" w:color="auto"/>
        <w:left w:val="none" w:sz="0" w:space="0" w:color="auto"/>
        <w:bottom w:val="none" w:sz="0" w:space="0" w:color="auto"/>
        <w:right w:val="none" w:sz="0" w:space="0" w:color="auto"/>
      </w:divBdr>
    </w:div>
    <w:div w:id="224729685">
      <w:bodyDiv w:val="1"/>
      <w:marLeft w:val="0"/>
      <w:marRight w:val="0"/>
      <w:marTop w:val="0"/>
      <w:marBottom w:val="0"/>
      <w:divBdr>
        <w:top w:val="none" w:sz="0" w:space="0" w:color="auto"/>
        <w:left w:val="none" w:sz="0" w:space="0" w:color="auto"/>
        <w:bottom w:val="none" w:sz="0" w:space="0" w:color="auto"/>
        <w:right w:val="none" w:sz="0" w:space="0" w:color="auto"/>
      </w:divBdr>
    </w:div>
    <w:div w:id="293368950">
      <w:bodyDiv w:val="1"/>
      <w:marLeft w:val="0"/>
      <w:marRight w:val="0"/>
      <w:marTop w:val="0"/>
      <w:marBottom w:val="0"/>
      <w:divBdr>
        <w:top w:val="none" w:sz="0" w:space="0" w:color="auto"/>
        <w:left w:val="none" w:sz="0" w:space="0" w:color="auto"/>
        <w:bottom w:val="none" w:sz="0" w:space="0" w:color="auto"/>
        <w:right w:val="none" w:sz="0" w:space="0" w:color="auto"/>
      </w:divBdr>
    </w:div>
    <w:div w:id="350497648">
      <w:bodyDiv w:val="1"/>
      <w:marLeft w:val="0"/>
      <w:marRight w:val="0"/>
      <w:marTop w:val="0"/>
      <w:marBottom w:val="0"/>
      <w:divBdr>
        <w:top w:val="none" w:sz="0" w:space="0" w:color="auto"/>
        <w:left w:val="none" w:sz="0" w:space="0" w:color="auto"/>
        <w:bottom w:val="none" w:sz="0" w:space="0" w:color="auto"/>
        <w:right w:val="none" w:sz="0" w:space="0" w:color="auto"/>
      </w:divBdr>
    </w:div>
    <w:div w:id="450438894">
      <w:bodyDiv w:val="1"/>
      <w:marLeft w:val="0"/>
      <w:marRight w:val="0"/>
      <w:marTop w:val="0"/>
      <w:marBottom w:val="0"/>
      <w:divBdr>
        <w:top w:val="none" w:sz="0" w:space="0" w:color="auto"/>
        <w:left w:val="none" w:sz="0" w:space="0" w:color="auto"/>
        <w:bottom w:val="none" w:sz="0" w:space="0" w:color="auto"/>
        <w:right w:val="none" w:sz="0" w:space="0" w:color="auto"/>
      </w:divBdr>
    </w:div>
    <w:div w:id="527522939">
      <w:bodyDiv w:val="1"/>
      <w:marLeft w:val="0"/>
      <w:marRight w:val="0"/>
      <w:marTop w:val="0"/>
      <w:marBottom w:val="0"/>
      <w:divBdr>
        <w:top w:val="none" w:sz="0" w:space="0" w:color="auto"/>
        <w:left w:val="none" w:sz="0" w:space="0" w:color="auto"/>
        <w:bottom w:val="none" w:sz="0" w:space="0" w:color="auto"/>
        <w:right w:val="none" w:sz="0" w:space="0" w:color="auto"/>
      </w:divBdr>
    </w:div>
    <w:div w:id="538590059">
      <w:bodyDiv w:val="1"/>
      <w:marLeft w:val="0"/>
      <w:marRight w:val="0"/>
      <w:marTop w:val="0"/>
      <w:marBottom w:val="0"/>
      <w:divBdr>
        <w:top w:val="none" w:sz="0" w:space="0" w:color="auto"/>
        <w:left w:val="none" w:sz="0" w:space="0" w:color="auto"/>
        <w:bottom w:val="none" w:sz="0" w:space="0" w:color="auto"/>
        <w:right w:val="none" w:sz="0" w:space="0" w:color="auto"/>
      </w:divBdr>
    </w:div>
    <w:div w:id="563570940">
      <w:bodyDiv w:val="1"/>
      <w:marLeft w:val="0"/>
      <w:marRight w:val="0"/>
      <w:marTop w:val="0"/>
      <w:marBottom w:val="0"/>
      <w:divBdr>
        <w:top w:val="none" w:sz="0" w:space="0" w:color="auto"/>
        <w:left w:val="none" w:sz="0" w:space="0" w:color="auto"/>
        <w:bottom w:val="none" w:sz="0" w:space="0" w:color="auto"/>
        <w:right w:val="none" w:sz="0" w:space="0" w:color="auto"/>
      </w:divBdr>
    </w:div>
    <w:div w:id="636227962">
      <w:bodyDiv w:val="1"/>
      <w:marLeft w:val="0"/>
      <w:marRight w:val="0"/>
      <w:marTop w:val="0"/>
      <w:marBottom w:val="0"/>
      <w:divBdr>
        <w:top w:val="none" w:sz="0" w:space="0" w:color="auto"/>
        <w:left w:val="none" w:sz="0" w:space="0" w:color="auto"/>
        <w:bottom w:val="none" w:sz="0" w:space="0" w:color="auto"/>
        <w:right w:val="none" w:sz="0" w:space="0" w:color="auto"/>
      </w:divBdr>
    </w:div>
    <w:div w:id="648438984">
      <w:bodyDiv w:val="1"/>
      <w:marLeft w:val="0"/>
      <w:marRight w:val="0"/>
      <w:marTop w:val="0"/>
      <w:marBottom w:val="0"/>
      <w:divBdr>
        <w:top w:val="none" w:sz="0" w:space="0" w:color="auto"/>
        <w:left w:val="none" w:sz="0" w:space="0" w:color="auto"/>
        <w:bottom w:val="none" w:sz="0" w:space="0" w:color="auto"/>
        <w:right w:val="none" w:sz="0" w:space="0" w:color="auto"/>
      </w:divBdr>
    </w:div>
    <w:div w:id="655304003">
      <w:bodyDiv w:val="1"/>
      <w:marLeft w:val="0"/>
      <w:marRight w:val="0"/>
      <w:marTop w:val="0"/>
      <w:marBottom w:val="0"/>
      <w:divBdr>
        <w:top w:val="none" w:sz="0" w:space="0" w:color="auto"/>
        <w:left w:val="none" w:sz="0" w:space="0" w:color="auto"/>
        <w:bottom w:val="none" w:sz="0" w:space="0" w:color="auto"/>
        <w:right w:val="none" w:sz="0" w:space="0" w:color="auto"/>
      </w:divBdr>
    </w:div>
    <w:div w:id="662926648">
      <w:bodyDiv w:val="1"/>
      <w:marLeft w:val="0"/>
      <w:marRight w:val="0"/>
      <w:marTop w:val="0"/>
      <w:marBottom w:val="0"/>
      <w:divBdr>
        <w:top w:val="none" w:sz="0" w:space="0" w:color="auto"/>
        <w:left w:val="none" w:sz="0" w:space="0" w:color="auto"/>
        <w:bottom w:val="none" w:sz="0" w:space="0" w:color="auto"/>
        <w:right w:val="none" w:sz="0" w:space="0" w:color="auto"/>
      </w:divBdr>
    </w:div>
    <w:div w:id="694162171">
      <w:bodyDiv w:val="1"/>
      <w:marLeft w:val="0"/>
      <w:marRight w:val="0"/>
      <w:marTop w:val="0"/>
      <w:marBottom w:val="0"/>
      <w:divBdr>
        <w:top w:val="none" w:sz="0" w:space="0" w:color="auto"/>
        <w:left w:val="none" w:sz="0" w:space="0" w:color="auto"/>
        <w:bottom w:val="none" w:sz="0" w:space="0" w:color="auto"/>
        <w:right w:val="none" w:sz="0" w:space="0" w:color="auto"/>
      </w:divBdr>
    </w:div>
    <w:div w:id="699746044">
      <w:bodyDiv w:val="1"/>
      <w:marLeft w:val="0"/>
      <w:marRight w:val="0"/>
      <w:marTop w:val="0"/>
      <w:marBottom w:val="0"/>
      <w:divBdr>
        <w:top w:val="none" w:sz="0" w:space="0" w:color="auto"/>
        <w:left w:val="none" w:sz="0" w:space="0" w:color="auto"/>
        <w:bottom w:val="none" w:sz="0" w:space="0" w:color="auto"/>
        <w:right w:val="none" w:sz="0" w:space="0" w:color="auto"/>
      </w:divBdr>
    </w:div>
    <w:div w:id="704986985">
      <w:bodyDiv w:val="1"/>
      <w:marLeft w:val="0"/>
      <w:marRight w:val="0"/>
      <w:marTop w:val="0"/>
      <w:marBottom w:val="0"/>
      <w:divBdr>
        <w:top w:val="none" w:sz="0" w:space="0" w:color="auto"/>
        <w:left w:val="none" w:sz="0" w:space="0" w:color="auto"/>
        <w:bottom w:val="none" w:sz="0" w:space="0" w:color="auto"/>
        <w:right w:val="none" w:sz="0" w:space="0" w:color="auto"/>
      </w:divBdr>
      <w:divsChild>
        <w:div w:id="1152867329">
          <w:marLeft w:val="0"/>
          <w:marRight w:val="0"/>
          <w:marTop w:val="0"/>
          <w:marBottom w:val="0"/>
          <w:divBdr>
            <w:top w:val="none" w:sz="0" w:space="0" w:color="auto"/>
            <w:left w:val="none" w:sz="0" w:space="0" w:color="auto"/>
            <w:bottom w:val="none" w:sz="0" w:space="0" w:color="auto"/>
            <w:right w:val="none" w:sz="0" w:space="0" w:color="auto"/>
          </w:divBdr>
        </w:div>
        <w:div w:id="701594428">
          <w:marLeft w:val="0"/>
          <w:marRight w:val="0"/>
          <w:marTop w:val="0"/>
          <w:marBottom w:val="0"/>
          <w:divBdr>
            <w:top w:val="none" w:sz="0" w:space="0" w:color="auto"/>
            <w:left w:val="none" w:sz="0" w:space="0" w:color="auto"/>
            <w:bottom w:val="none" w:sz="0" w:space="0" w:color="auto"/>
            <w:right w:val="none" w:sz="0" w:space="0" w:color="auto"/>
          </w:divBdr>
        </w:div>
        <w:div w:id="1542129582">
          <w:marLeft w:val="0"/>
          <w:marRight w:val="0"/>
          <w:marTop w:val="0"/>
          <w:marBottom w:val="0"/>
          <w:divBdr>
            <w:top w:val="none" w:sz="0" w:space="0" w:color="auto"/>
            <w:left w:val="none" w:sz="0" w:space="0" w:color="auto"/>
            <w:bottom w:val="none" w:sz="0" w:space="0" w:color="auto"/>
            <w:right w:val="none" w:sz="0" w:space="0" w:color="auto"/>
          </w:divBdr>
        </w:div>
      </w:divsChild>
    </w:div>
    <w:div w:id="710810708">
      <w:bodyDiv w:val="1"/>
      <w:marLeft w:val="0"/>
      <w:marRight w:val="0"/>
      <w:marTop w:val="0"/>
      <w:marBottom w:val="0"/>
      <w:divBdr>
        <w:top w:val="none" w:sz="0" w:space="0" w:color="auto"/>
        <w:left w:val="none" w:sz="0" w:space="0" w:color="auto"/>
        <w:bottom w:val="none" w:sz="0" w:space="0" w:color="auto"/>
        <w:right w:val="none" w:sz="0" w:space="0" w:color="auto"/>
      </w:divBdr>
    </w:div>
    <w:div w:id="786393893">
      <w:bodyDiv w:val="1"/>
      <w:marLeft w:val="0"/>
      <w:marRight w:val="0"/>
      <w:marTop w:val="0"/>
      <w:marBottom w:val="0"/>
      <w:divBdr>
        <w:top w:val="none" w:sz="0" w:space="0" w:color="auto"/>
        <w:left w:val="none" w:sz="0" w:space="0" w:color="auto"/>
        <w:bottom w:val="none" w:sz="0" w:space="0" w:color="auto"/>
        <w:right w:val="none" w:sz="0" w:space="0" w:color="auto"/>
      </w:divBdr>
    </w:div>
    <w:div w:id="786773655">
      <w:bodyDiv w:val="1"/>
      <w:marLeft w:val="0"/>
      <w:marRight w:val="0"/>
      <w:marTop w:val="0"/>
      <w:marBottom w:val="0"/>
      <w:divBdr>
        <w:top w:val="none" w:sz="0" w:space="0" w:color="auto"/>
        <w:left w:val="none" w:sz="0" w:space="0" w:color="auto"/>
        <w:bottom w:val="none" w:sz="0" w:space="0" w:color="auto"/>
        <w:right w:val="none" w:sz="0" w:space="0" w:color="auto"/>
      </w:divBdr>
    </w:div>
    <w:div w:id="810296003">
      <w:bodyDiv w:val="1"/>
      <w:marLeft w:val="0"/>
      <w:marRight w:val="0"/>
      <w:marTop w:val="0"/>
      <w:marBottom w:val="0"/>
      <w:divBdr>
        <w:top w:val="none" w:sz="0" w:space="0" w:color="auto"/>
        <w:left w:val="none" w:sz="0" w:space="0" w:color="auto"/>
        <w:bottom w:val="none" w:sz="0" w:space="0" w:color="auto"/>
        <w:right w:val="none" w:sz="0" w:space="0" w:color="auto"/>
      </w:divBdr>
    </w:div>
    <w:div w:id="814447279">
      <w:bodyDiv w:val="1"/>
      <w:marLeft w:val="0"/>
      <w:marRight w:val="0"/>
      <w:marTop w:val="0"/>
      <w:marBottom w:val="0"/>
      <w:divBdr>
        <w:top w:val="none" w:sz="0" w:space="0" w:color="auto"/>
        <w:left w:val="none" w:sz="0" w:space="0" w:color="auto"/>
        <w:bottom w:val="none" w:sz="0" w:space="0" w:color="auto"/>
        <w:right w:val="none" w:sz="0" w:space="0" w:color="auto"/>
      </w:divBdr>
    </w:div>
    <w:div w:id="831264494">
      <w:bodyDiv w:val="1"/>
      <w:marLeft w:val="0"/>
      <w:marRight w:val="0"/>
      <w:marTop w:val="0"/>
      <w:marBottom w:val="0"/>
      <w:divBdr>
        <w:top w:val="none" w:sz="0" w:space="0" w:color="auto"/>
        <w:left w:val="none" w:sz="0" w:space="0" w:color="auto"/>
        <w:bottom w:val="none" w:sz="0" w:space="0" w:color="auto"/>
        <w:right w:val="none" w:sz="0" w:space="0" w:color="auto"/>
      </w:divBdr>
    </w:div>
    <w:div w:id="880245446">
      <w:bodyDiv w:val="1"/>
      <w:marLeft w:val="0"/>
      <w:marRight w:val="0"/>
      <w:marTop w:val="0"/>
      <w:marBottom w:val="0"/>
      <w:divBdr>
        <w:top w:val="none" w:sz="0" w:space="0" w:color="auto"/>
        <w:left w:val="none" w:sz="0" w:space="0" w:color="auto"/>
        <w:bottom w:val="none" w:sz="0" w:space="0" w:color="auto"/>
        <w:right w:val="none" w:sz="0" w:space="0" w:color="auto"/>
      </w:divBdr>
    </w:div>
    <w:div w:id="911040588">
      <w:bodyDiv w:val="1"/>
      <w:marLeft w:val="0"/>
      <w:marRight w:val="0"/>
      <w:marTop w:val="0"/>
      <w:marBottom w:val="0"/>
      <w:divBdr>
        <w:top w:val="none" w:sz="0" w:space="0" w:color="auto"/>
        <w:left w:val="none" w:sz="0" w:space="0" w:color="auto"/>
        <w:bottom w:val="none" w:sz="0" w:space="0" w:color="auto"/>
        <w:right w:val="none" w:sz="0" w:space="0" w:color="auto"/>
      </w:divBdr>
    </w:div>
    <w:div w:id="913124491">
      <w:bodyDiv w:val="1"/>
      <w:marLeft w:val="0"/>
      <w:marRight w:val="0"/>
      <w:marTop w:val="0"/>
      <w:marBottom w:val="0"/>
      <w:divBdr>
        <w:top w:val="none" w:sz="0" w:space="0" w:color="auto"/>
        <w:left w:val="none" w:sz="0" w:space="0" w:color="auto"/>
        <w:bottom w:val="none" w:sz="0" w:space="0" w:color="auto"/>
        <w:right w:val="none" w:sz="0" w:space="0" w:color="auto"/>
      </w:divBdr>
    </w:div>
    <w:div w:id="920286704">
      <w:bodyDiv w:val="1"/>
      <w:marLeft w:val="0"/>
      <w:marRight w:val="0"/>
      <w:marTop w:val="0"/>
      <w:marBottom w:val="0"/>
      <w:divBdr>
        <w:top w:val="none" w:sz="0" w:space="0" w:color="auto"/>
        <w:left w:val="none" w:sz="0" w:space="0" w:color="auto"/>
        <w:bottom w:val="none" w:sz="0" w:space="0" w:color="auto"/>
        <w:right w:val="none" w:sz="0" w:space="0" w:color="auto"/>
      </w:divBdr>
    </w:div>
    <w:div w:id="935557786">
      <w:bodyDiv w:val="1"/>
      <w:marLeft w:val="0"/>
      <w:marRight w:val="0"/>
      <w:marTop w:val="0"/>
      <w:marBottom w:val="0"/>
      <w:divBdr>
        <w:top w:val="none" w:sz="0" w:space="0" w:color="auto"/>
        <w:left w:val="none" w:sz="0" w:space="0" w:color="auto"/>
        <w:bottom w:val="none" w:sz="0" w:space="0" w:color="auto"/>
        <w:right w:val="none" w:sz="0" w:space="0" w:color="auto"/>
      </w:divBdr>
    </w:div>
    <w:div w:id="965354334">
      <w:bodyDiv w:val="1"/>
      <w:marLeft w:val="0"/>
      <w:marRight w:val="0"/>
      <w:marTop w:val="0"/>
      <w:marBottom w:val="0"/>
      <w:divBdr>
        <w:top w:val="none" w:sz="0" w:space="0" w:color="auto"/>
        <w:left w:val="none" w:sz="0" w:space="0" w:color="auto"/>
        <w:bottom w:val="none" w:sz="0" w:space="0" w:color="auto"/>
        <w:right w:val="none" w:sz="0" w:space="0" w:color="auto"/>
      </w:divBdr>
    </w:div>
    <w:div w:id="1045178166">
      <w:bodyDiv w:val="1"/>
      <w:marLeft w:val="0"/>
      <w:marRight w:val="0"/>
      <w:marTop w:val="0"/>
      <w:marBottom w:val="0"/>
      <w:divBdr>
        <w:top w:val="none" w:sz="0" w:space="0" w:color="auto"/>
        <w:left w:val="none" w:sz="0" w:space="0" w:color="auto"/>
        <w:bottom w:val="none" w:sz="0" w:space="0" w:color="auto"/>
        <w:right w:val="none" w:sz="0" w:space="0" w:color="auto"/>
      </w:divBdr>
    </w:div>
    <w:div w:id="1052076455">
      <w:bodyDiv w:val="1"/>
      <w:marLeft w:val="0"/>
      <w:marRight w:val="0"/>
      <w:marTop w:val="0"/>
      <w:marBottom w:val="0"/>
      <w:divBdr>
        <w:top w:val="none" w:sz="0" w:space="0" w:color="auto"/>
        <w:left w:val="none" w:sz="0" w:space="0" w:color="auto"/>
        <w:bottom w:val="none" w:sz="0" w:space="0" w:color="auto"/>
        <w:right w:val="none" w:sz="0" w:space="0" w:color="auto"/>
      </w:divBdr>
    </w:div>
    <w:div w:id="1089690831">
      <w:bodyDiv w:val="1"/>
      <w:marLeft w:val="0"/>
      <w:marRight w:val="0"/>
      <w:marTop w:val="0"/>
      <w:marBottom w:val="0"/>
      <w:divBdr>
        <w:top w:val="none" w:sz="0" w:space="0" w:color="auto"/>
        <w:left w:val="none" w:sz="0" w:space="0" w:color="auto"/>
        <w:bottom w:val="none" w:sz="0" w:space="0" w:color="auto"/>
        <w:right w:val="none" w:sz="0" w:space="0" w:color="auto"/>
      </w:divBdr>
    </w:div>
    <w:div w:id="1131367087">
      <w:bodyDiv w:val="1"/>
      <w:marLeft w:val="0"/>
      <w:marRight w:val="0"/>
      <w:marTop w:val="0"/>
      <w:marBottom w:val="0"/>
      <w:divBdr>
        <w:top w:val="none" w:sz="0" w:space="0" w:color="auto"/>
        <w:left w:val="none" w:sz="0" w:space="0" w:color="auto"/>
        <w:bottom w:val="none" w:sz="0" w:space="0" w:color="auto"/>
        <w:right w:val="none" w:sz="0" w:space="0" w:color="auto"/>
      </w:divBdr>
    </w:div>
    <w:div w:id="1197891052">
      <w:bodyDiv w:val="1"/>
      <w:marLeft w:val="0"/>
      <w:marRight w:val="0"/>
      <w:marTop w:val="0"/>
      <w:marBottom w:val="0"/>
      <w:divBdr>
        <w:top w:val="none" w:sz="0" w:space="0" w:color="auto"/>
        <w:left w:val="none" w:sz="0" w:space="0" w:color="auto"/>
        <w:bottom w:val="none" w:sz="0" w:space="0" w:color="auto"/>
        <w:right w:val="none" w:sz="0" w:space="0" w:color="auto"/>
      </w:divBdr>
    </w:div>
    <w:div w:id="1224485604">
      <w:bodyDiv w:val="1"/>
      <w:marLeft w:val="0"/>
      <w:marRight w:val="0"/>
      <w:marTop w:val="0"/>
      <w:marBottom w:val="0"/>
      <w:divBdr>
        <w:top w:val="none" w:sz="0" w:space="0" w:color="auto"/>
        <w:left w:val="none" w:sz="0" w:space="0" w:color="auto"/>
        <w:bottom w:val="none" w:sz="0" w:space="0" w:color="auto"/>
        <w:right w:val="none" w:sz="0" w:space="0" w:color="auto"/>
      </w:divBdr>
    </w:div>
    <w:div w:id="1240795968">
      <w:bodyDiv w:val="1"/>
      <w:marLeft w:val="0"/>
      <w:marRight w:val="0"/>
      <w:marTop w:val="0"/>
      <w:marBottom w:val="0"/>
      <w:divBdr>
        <w:top w:val="none" w:sz="0" w:space="0" w:color="auto"/>
        <w:left w:val="none" w:sz="0" w:space="0" w:color="auto"/>
        <w:bottom w:val="none" w:sz="0" w:space="0" w:color="auto"/>
        <w:right w:val="none" w:sz="0" w:space="0" w:color="auto"/>
      </w:divBdr>
    </w:div>
    <w:div w:id="1246262532">
      <w:bodyDiv w:val="1"/>
      <w:marLeft w:val="0"/>
      <w:marRight w:val="0"/>
      <w:marTop w:val="0"/>
      <w:marBottom w:val="0"/>
      <w:divBdr>
        <w:top w:val="none" w:sz="0" w:space="0" w:color="auto"/>
        <w:left w:val="none" w:sz="0" w:space="0" w:color="auto"/>
        <w:bottom w:val="none" w:sz="0" w:space="0" w:color="auto"/>
        <w:right w:val="none" w:sz="0" w:space="0" w:color="auto"/>
      </w:divBdr>
    </w:div>
    <w:div w:id="1281767772">
      <w:bodyDiv w:val="1"/>
      <w:marLeft w:val="0"/>
      <w:marRight w:val="0"/>
      <w:marTop w:val="0"/>
      <w:marBottom w:val="0"/>
      <w:divBdr>
        <w:top w:val="none" w:sz="0" w:space="0" w:color="auto"/>
        <w:left w:val="none" w:sz="0" w:space="0" w:color="auto"/>
        <w:bottom w:val="none" w:sz="0" w:space="0" w:color="auto"/>
        <w:right w:val="none" w:sz="0" w:space="0" w:color="auto"/>
      </w:divBdr>
    </w:div>
    <w:div w:id="1360936295">
      <w:bodyDiv w:val="1"/>
      <w:marLeft w:val="0"/>
      <w:marRight w:val="0"/>
      <w:marTop w:val="0"/>
      <w:marBottom w:val="0"/>
      <w:divBdr>
        <w:top w:val="none" w:sz="0" w:space="0" w:color="auto"/>
        <w:left w:val="none" w:sz="0" w:space="0" w:color="auto"/>
        <w:bottom w:val="none" w:sz="0" w:space="0" w:color="auto"/>
        <w:right w:val="none" w:sz="0" w:space="0" w:color="auto"/>
      </w:divBdr>
    </w:div>
    <w:div w:id="1417635154">
      <w:bodyDiv w:val="1"/>
      <w:marLeft w:val="0"/>
      <w:marRight w:val="0"/>
      <w:marTop w:val="0"/>
      <w:marBottom w:val="0"/>
      <w:divBdr>
        <w:top w:val="none" w:sz="0" w:space="0" w:color="auto"/>
        <w:left w:val="none" w:sz="0" w:space="0" w:color="auto"/>
        <w:bottom w:val="none" w:sz="0" w:space="0" w:color="auto"/>
        <w:right w:val="none" w:sz="0" w:space="0" w:color="auto"/>
      </w:divBdr>
    </w:div>
    <w:div w:id="1521236123">
      <w:bodyDiv w:val="1"/>
      <w:marLeft w:val="0"/>
      <w:marRight w:val="0"/>
      <w:marTop w:val="0"/>
      <w:marBottom w:val="0"/>
      <w:divBdr>
        <w:top w:val="none" w:sz="0" w:space="0" w:color="auto"/>
        <w:left w:val="none" w:sz="0" w:space="0" w:color="auto"/>
        <w:bottom w:val="none" w:sz="0" w:space="0" w:color="auto"/>
        <w:right w:val="none" w:sz="0" w:space="0" w:color="auto"/>
      </w:divBdr>
    </w:div>
    <w:div w:id="1611544636">
      <w:bodyDiv w:val="1"/>
      <w:marLeft w:val="0"/>
      <w:marRight w:val="0"/>
      <w:marTop w:val="0"/>
      <w:marBottom w:val="0"/>
      <w:divBdr>
        <w:top w:val="none" w:sz="0" w:space="0" w:color="auto"/>
        <w:left w:val="none" w:sz="0" w:space="0" w:color="auto"/>
        <w:bottom w:val="none" w:sz="0" w:space="0" w:color="auto"/>
        <w:right w:val="none" w:sz="0" w:space="0" w:color="auto"/>
      </w:divBdr>
    </w:div>
    <w:div w:id="1658923773">
      <w:bodyDiv w:val="1"/>
      <w:marLeft w:val="0"/>
      <w:marRight w:val="0"/>
      <w:marTop w:val="0"/>
      <w:marBottom w:val="0"/>
      <w:divBdr>
        <w:top w:val="none" w:sz="0" w:space="0" w:color="auto"/>
        <w:left w:val="none" w:sz="0" w:space="0" w:color="auto"/>
        <w:bottom w:val="none" w:sz="0" w:space="0" w:color="auto"/>
        <w:right w:val="none" w:sz="0" w:space="0" w:color="auto"/>
      </w:divBdr>
    </w:div>
    <w:div w:id="1659916763">
      <w:bodyDiv w:val="1"/>
      <w:marLeft w:val="0"/>
      <w:marRight w:val="0"/>
      <w:marTop w:val="0"/>
      <w:marBottom w:val="0"/>
      <w:divBdr>
        <w:top w:val="none" w:sz="0" w:space="0" w:color="auto"/>
        <w:left w:val="none" w:sz="0" w:space="0" w:color="auto"/>
        <w:bottom w:val="none" w:sz="0" w:space="0" w:color="auto"/>
        <w:right w:val="none" w:sz="0" w:space="0" w:color="auto"/>
      </w:divBdr>
      <w:divsChild>
        <w:div w:id="576473367">
          <w:marLeft w:val="0"/>
          <w:marRight w:val="0"/>
          <w:marTop w:val="0"/>
          <w:marBottom w:val="0"/>
          <w:divBdr>
            <w:top w:val="none" w:sz="0" w:space="0" w:color="auto"/>
            <w:left w:val="none" w:sz="0" w:space="0" w:color="auto"/>
            <w:bottom w:val="none" w:sz="0" w:space="0" w:color="auto"/>
            <w:right w:val="none" w:sz="0" w:space="0" w:color="auto"/>
          </w:divBdr>
        </w:div>
        <w:div w:id="465700204">
          <w:marLeft w:val="0"/>
          <w:marRight w:val="0"/>
          <w:marTop w:val="0"/>
          <w:marBottom w:val="0"/>
          <w:divBdr>
            <w:top w:val="none" w:sz="0" w:space="0" w:color="auto"/>
            <w:left w:val="none" w:sz="0" w:space="0" w:color="auto"/>
            <w:bottom w:val="none" w:sz="0" w:space="0" w:color="auto"/>
            <w:right w:val="none" w:sz="0" w:space="0" w:color="auto"/>
          </w:divBdr>
        </w:div>
        <w:div w:id="50615462">
          <w:marLeft w:val="0"/>
          <w:marRight w:val="0"/>
          <w:marTop w:val="0"/>
          <w:marBottom w:val="0"/>
          <w:divBdr>
            <w:top w:val="none" w:sz="0" w:space="0" w:color="auto"/>
            <w:left w:val="none" w:sz="0" w:space="0" w:color="auto"/>
            <w:bottom w:val="none" w:sz="0" w:space="0" w:color="auto"/>
            <w:right w:val="none" w:sz="0" w:space="0" w:color="auto"/>
          </w:divBdr>
        </w:div>
        <w:div w:id="349795777">
          <w:marLeft w:val="0"/>
          <w:marRight w:val="0"/>
          <w:marTop w:val="0"/>
          <w:marBottom w:val="0"/>
          <w:divBdr>
            <w:top w:val="none" w:sz="0" w:space="0" w:color="auto"/>
            <w:left w:val="none" w:sz="0" w:space="0" w:color="auto"/>
            <w:bottom w:val="none" w:sz="0" w:space="0" w:color="auto"/>
            <w:right w:val="none" w:sz="0" w:space="0" w:color="auto"/>
          </w:divBdr>
        </w:div>
        <w:div w:id="119232390">
          <w:marLeft w:val="0"/>
          <w:marRight w:val="0"/>
          <w:marTop w:val="0"/>
          <w:marBottom w:val="0"/>
          <w:divBdr>
            <w:top w:val="none" w:sz="0" w:space="0" w:color="auto"/>
            <w:left w:val="none" w:sz="0" w:space="0" w:color="auto"/>
            <w:bottom w:val="none" w:sz="0" w:space="0" w:color="auto"/>
            <w:right w:val="none" w:sz="0" w:space="0" w:color="auto"/>
          </w:divBdr>
        </w:div>
        <w:div w:id="1278217950">
          <w:marLeft w:val="0"/>
          <w:marRight w:val="0"/>
          <w:marTop w:val="0"/>
          <w:marBottom w:val="0"/>
          <w:divBdr>
            <w:top w:val="none" w:sz="0" w:space="0" w:color="auto"/>
            <w:left w:val="none" w:sz="0" w:space="0" w:color="auto"/>
            <w:bottom w:val="none" w:sz="0" w:space="0" w:color="auto"/>
            <w:right w:val="none" w:sz="0" w:space="0" w:color="auto"/>
          </w:divBdr>
        </w:div>
        <w:div w:id="1469398164">
          <w:marLeft w:val="0"/>
          <w:marRight w:val="0"/>
          <w:marTop w:val="0"/>
          <w:marBottom w:val="0"/>
          <w:divBdr>
            <w:top w:val="none" w:sz="0" w:space="0" w:color="auto"/>
            <w:left w:val="none" w:sz="0" w:space="0" w:color="auto"/>
            <w:bottom w:val="none" w:sz="0" w:space="0" w:color="auto"/>
            <w:right w:val="none" w:sz="0" w:space="0" w:color="auto"/>
          </w:divBdr>
        </w:div>
        <w:div w:id="120344250">
          <w:marLeft w:val="0"/>
          <w:marRight w:val="0"/>
          <w:marTop w:val="0"/>
          <w:marBottom w:val="0"/>
          <w:divBdr>
            <w:top w:val="none" w:sz="0" w:space="0" w:color="auto"/>
            <w:left w:val="none" w:sz="0" w:space="0" w:color="auto"/>
            <w:bottom w:val="none" w:sz="0" w:space="0" w:color="auto"/>
            <w:right w:val="none" w:sz="0" w:space="0" w:color="auto"/>
          </w:divBdr>
        </w:div>
        <w:div w:id="1602569846">
          <w:marLeft w:val="0"/>
          <w:marRight w:val="0"/>
          <w:marTop w:val="0"/>
          <w:marBottom w:val="0"/>
          <w:divBdr>
            <w:top w:val="none" w:sz="0" w:space="0" w:color="auto"/>
            <w:left w:val="none" w:sz="0" w:space="0" w:color="auto"/>
            <w:bottom w:val="none" w:sz="0" w:space="0" w:color="auto"/>
            <w:right w:val="none" w:sz="0" w:space="0" w:color="auto"/>
          </w:divBdr>
        </w:div>
        <w:div w:id="1213543567">
          <w:marLeft w:val="0"/>
          <w:marRight w:val="0"/>
          <w:marTop w:val="0"/>
          <w:marBottom w:val="0"/>
          <w:divBdr>
            <w:top w:val="none" w:sz="0" w:space="0" w:color="auto"/>
            <w:left w:val="none" w:sz="0" w:space="0" w:color="auto"/>
            <w:bottom w:val="none" w:sz="0" w:space="0" w:color="auto"/>
            <w:right w:val="none" w:sz="0" w:space="0" w:color="auto"/>
          </w:divBdr>
        </w:div>
      </w:divsChild>
    </w:div>
    <w:div w:id="1702053102">
      <w:bodyDiv w:val="1"/>
      <w:marLeft w:val="0"/>
      <w:marRight w:val="0"/>
      <w:marTop w:val="0"/>
      <w:marBottom w:val="0"/>
      <w:divBdr>
        <w:top w:val="none" w:sz="0" w:space="0" w:color="auto"/>
        <w:left w:val="none" w:sz="0" w:space="0" w:color="auto"/>
        <w:bottom w:val="none" w:sz="0" w:space="0" w:color="auto"/>
        <w:right w:val="none" w:sz="0" w:space="0" w:color="auto"/>
      </w:divBdr>
    </w:div>
    <w:div w:id="1704329974">
      <w:bodyDiv w:val="1"/>
      <w:marLeft w:val="0"/>
      <w:marRight w:val="0"/>
      <w:marTop w:val="0"/>
      <w:marBottom w:val="0"/>
      <w:divBdr>
        <w:top w:val="none" w:sz="0" w:space="0" w:color="auto"/>
        <w:left w:val="none" w:sz="0" w:space="0" w:color="auto"/>
        <w:bottom w:val="none" w:sz="0" w:space="0" w:color="auto"/>
        <w:right w:val="none" w:sz="0" w:space="0" w:color="auto"/>
      </w:divBdr>
    </w:div>
    <w:div w:id="1714694457">
      <w:bodyDiv w:val="1"/>
      <w:marLeft w:val="0"/>
      <w:marRight w:val="0"/>
      <w:marTop w:val="0"/>
      <w:marBottom w:val="0"/>
      <w:divBdr>
        <w:top w:val="none" w:sz="0" w:space="0" w:color="auto"/>
        <w:left w:val="none" w:sz="0" w:space="0" w:color="auto"/>
        <w:bottom w:val="none" w:sz="0" w:space="0" w:color="auto"/>
        <w:right w:val="none" w:sz="0" w:space="0" w:color="auto"/>
      </w:divBdr>
    </w:div>
    <w:div w:id="1761638098">
      <w:bodyDiv w:val="1"/>
      <w:marLeft w:val="0"/>
      <w:marRight w:val="0"/>
      <w:marTop w:val="0"/>
      <w:marBottom w:val="0"/>
      <w:divBdr>
        <w:top w:val="none" w:sz="0" w:space="0" w:color="auto"/>
        <w:left w:val="none" w:sz="0" w:space="0" w:color="auto"/>
        <w:bottom w:val="none" w:sz="0" w:space="0" w:color="auto"/>
        <w:right w:val="none" w:sz="0" w:space="0" w:color="auto"/>
      </w:divBdr>
    </w:div>
    <w:div w:id="1790661542">
      <w:bodyDiv w:val="1"/>
      <w:marLeft w:val="0"/>
      <w:marRight w:val="0"/>
      <w:marTop w:val="0"/>
      <w:marBottom w:val="0"/>
      <w:divBdr>
        <w:top w:val="none" w:sz="0" w:space="0" w:color="auto"/>
        <w:left w:val="none" w:sz="0" w:space="0" w:color="auto"/>
        <w:bottom w:val="none" w:sz="0" w:space="0" w:color="auto"/>
        <w:right w:val="none" w:sz="0" w:space="0" w:color="auto"/>
      </w:divBdr>
    </w:div>
    <w:div w:id="1849366871">
      <w:bodyDiv w:val="1"/>
      <w:marLeft w:val="0"/>
      <w:marRight w:val="0"/>
      <w:marTop w:val="0"/>
      <w:marBottom w:val="0"/>
      <w:divBdr>
        <w:top w:val="none" w:sz="0" w:space="0" w:color="auto"/>
        <w:left w:val="none" w:sz="0" w:space="0" w:color="auto"/>
        <w:bottom w:val="none" w:sz="0" w:space="0" w:color="auto"/>
        <w:right w:val="none" w:sz="0" w:space="0" w:color="auto"/>
      </w:divBdr>
    </w:div>
    <w:div w:id="1894121767">
      <w:bodyDiv w:val="1"/>
      <w:marLeft w:val="0"/>
      <w:marRight w:val="0"/>
      <w:marTop w:val="0"/>
      <w:marBottom w:val="0"/>
      <w:divBdr>
        <w:top w:val="none" w:sz="0" w:space="0" w:color="auto"/>
        <w:left w:val="none" w:sz="0" w:space="0" w:color="auto"/>
        <w:bottom w:val="none" w:sz="0" w:space="0" w:color="auto"/>
        <w:right w:val="none" w:sz="0" w:space="0" w:color="auto"/>
      </w:divBdr>
    </w:div>
    <w:div w:id="1912344832">
      <w:bodyDiv w:val="1"/>
      <w:marLeft w:val="0"/>
      <w:marRight w:val="0"/>
      <w:marTop w:val="0"/>
      <w:marBottom w:val="0"/>
      <w:divBdr>
        <w:top w:val="none" w:sz="0" w:space="0" w:color="auto"/>
        <w:left w:val="none" w:sz="0" w:space="0" w:color="auto"/>
        <w:bottom w:val="none" w:sz="0" w:space="0" w:color="auto"/>
        <w:right w:val="none" w:sz="0" w:space="0" w:color="auto"/>
      </w:divBdr>
    </w:div>
    <w:div w:id="1913730746">
      <w:bodyDiv w:val="1"/>
      <w:marLeft w:val="0"/>
      <w:marRight w:val="0"/>
      <w:marTop w:val="0"/>
      <w:marBottom w:val="0"/>
      <w:divBdr>
        <w:top w:val="none" w:sz="0" w:space="0" w:color="auto"/>
        <w:left w:val="none" w:sz="0" w:space="0" w:color="auto"/>
        <w:bottom w:val="none" w:sz="0" w:space="0" w:color="auto"/>
        <w:right w:val="none" w:sz="0" w:space="0" w:color="auto"/>
      </w:divBdr>
    </w:div>
    <w:div w:id="1918856953">
      <w:bodyDiv w:val="1"/>
      <w:marLeft w:val="0"/>
      <w:marRight w:val="0"/>
      <w:marTop w:val="0"/>
      <w:marBottom w:val="0"/>
      <w:divBdr>
        <w:top w:val="none" w:sz="0" w:space="0" w:color="auto"/>
        <w:left w:val="none" w:sz="0" w:space="0" w:color="auto"/>
        <w:bottom w:val="none" w:sz="0" w:space="0" w:color="auto"/>
        <w:right w:val="none" w:sz="0" w:space="0" w:color="auto"/>
      </w:divBdr>
    </w:div>
    <w:div w:id="1933123333">
      <w:bodyDiv w:val="1"/>
      <w:marLeft w:val="0"/>
      <w:marRight w:val="0"/>
      <w:marTop w:val="0"/>
      <w:marBottom w:val="0"/>
      <w:divBdr>
        <w:top w:val="none" w:sz="0" w:space="0" w:color="auto"/>
        <w:left w:val="none" w:sz="0" w:space="0" w:color="auto"/>
        <w:bottom w:val="none" w:sz="0" w:space="0" w:color="auto"/>
        <w:right w:val="none" w:sz="0" w:space="0" w:color="auto"/>
      </w:divBdr>
    </w:div>
    <w:div w:id="1965429675">
      <w:bodyDiv w:val="1"/>
      <w:marLeft w:val="0"/>
      <w:marRight w:val="0"/>
      <w:marTop w:val="0"/>
      <w:marBottom w:val="0"/>
      <w:divBdr>
        <w:top w:val="none" w:sz="0" w:space="0" w:color="auto"/>
        <w:left w:val="none" w:sz="0" w:space="0" w:color="auto"/>
        <w:bottom w:val="none" w:sz="0" w:space="0" w:color="auto"/>
        <w:right w:val="none" w:sz="0" w:space="0" w:color="auto"/>
      </w:divBdr>
    </w:div>
    <w:div w:id="1983919527">
      <w:bodyDiv w:val="1"/>
      <w:marLeft w:val="0"/>
      <w:marRight w:val="0"/>
      <w:marTop w:val="0"/>
      <w:marBottom w:val="0"/>
      <w:divBdr>
        <w:top w:val="none" w:sz="0" w:space="0" w:color="auto"/>
        <w:left w:val="none" w:sz="0" w:space="0" w:color="auto"/>
        <w:bottom w:val="none" w:sz="0" w:space="0" w:color="auto"/>
        <w:right w:val="none" w:sz="0" w:space="0" w:color="auto"/>
      </w:divBdr>
    </w:div>
    <w:div w:id="2031681597">
      <w:bodyDiv w:val="1"/>
      <w:marLeft w:val="0"/>
      <w:marRight w:val="0"/>
      <w:marTop w:val="0"/>
      <w:marBottom w:val="0"/>
      <w:divBdr>
        <w:top w:val="none" w:sz="0" w:space="0" w:color="auto"/>
        <w:left w:val="none" w:sz="0" w:space="0" w:color="auto"/>
        <w:bottom w:val="none" w:sz="0" w:space="0" w:color="auto"/>
        <w:right w:val="none" w:sz="0" w:space="0" w:color="auto"/>
      </w:divBdr>
    </w:div>
    <w:div w:id="2054888788">
      <w:bodyDiv w:val="1"/>
      <w:marLeft w:val="0"/>
      <w:marRight w:val="0"/>
      <w:marTop w:val="0"/>
      <w:marBottom w:val="0"/>
      <w:divBdr>
        <w:top w:val="none" w:sz="0" w:space="0" w:color="auto"/>
        <w:left w:val="none" w:sz="0" w:space="0" w:color="auto"/>
        <w:bottom w:val="none" w:sz="0" w:space="0" w:color="auto"/>
        <w:right w:val="none" w:sz="0" w:space="0" w:color="auto"/>
      </w:divBdr>
    </w:div>
    <w:div w:id="2075470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tas.stalnionis@citu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tu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C8714-A1BD-2142-95D5-582952AB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1440</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Daugiau informacijos: </vt:lpstr>
    </vt:vector>
  </TitlesOfParts>
  <Company/>
  <LinksUpToDate>false</LinksUpToDate>
  <CharactersWithSpaces>9635</CharactersWithSpaces>
  <SharedDoc>false</SharedDoc>
  <HLinks>
    <vt:vector size="12" baseType="variant">
      <vt:variant>
        <vt:i4>786454</vt:i4>
      </vt:variant>
      <vt:variant>
        <vt:i4>3</vt:i4>
      </vt:variant>
      <vt:variant>
        <vt:i4>0</vt:i4>
      </vt:variant>
      <vt:variant>
        <vt:i4>5</vt:i4>
      </vt:variant>
      <vt:variant>
        <vt:lpwstr>http://www.citus.lt/</vt:lpwstr>
      </vt:variant>
      <vt:variant>
        <vt:lpwstr/>
      </vt:variant>
      <vt:variant>
        <vt:i4>7012376</vt:i4>
      </vt:variant>
      <vt:variant>
        <vt:i4>0</vt:i4>
      </vt:variant>
      <vt:variant>
        <vt:i4>0</vt:i4>
      </vt:variant>
      <vt:variant>
        <vt:i4>5</vt:i4>
      </vt:variant>
      <vt:variant>
        <vt:lpwstr>mailto:rytas.stalnionis@citus.lt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Rytas</dc:creator>
  <cp:keywords/>
  <dc:description/>
  <cp:lastModifiedBy>Rytas Stalnionis | Citus</cp:lastModifiedBy>
  <cp:revision>8</cp:revision>
  <cp:lastPrinted>2018-09-12T07:36:00Z</cp:lastPrinted>
  <dcterms:created xsi:type="dcterms:W3CDTF">2025-10-01T07:42:00Z</dcterms:created>
  <dcterms:modified xsi:type="dcterms:W3CDTF">2025-10-01T09:53:00Z</dcterms:modified>
</cp:coreProperties>
</file>