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AB545" w14:textId="1F18BFBE" w:rsidR="00B50BF1" w:rsidRPr="00027FF2" w:rsidRDefault="00DA5038" w:rsidP="00DA5038">
      <w:pPr>
        <w:rPr>
          <w:rFonts w:ascii="Segoe UI" w:hAnsi="Segoe UI" w:cs="Segoe UI"/>
          <w:lang w:val="en-US"/>
        </w:rPr>
      </w:pPr>
      <w:r w:rsidRPr="00DF3595">
        <w:rPr>
          <w:rFonts w:ascii="Segoe UI" w:hAnsi="Segoe UI" w:cs="Segoe UI"/>
        </w:rPr>
        <w:t>PRANEŠIMAS ŽINIASKLAIDAI</w:t>
      </w:r>
      <w:r w:rsidRPr="00DF3595">
        <w:rPr>
          <w:rFonts w:ascii="Segoe UI" w:hAnsi="Segoe UI" w:cs="Segoe UI"/>
        </w:rPr>
        <w:br/>
      </w:r>
      <w:r w:rsidRPr="000F0DD1">
        <w:rPr>
          <w:rFonts w:ascii="Segoe UI" w:hAnsi="Segoe UI" w:cs="Segoe UI"/>
        </w:rPr>
        <w:t>202</w:t>
      </w:r>
      <w:r w:rsidR="004F46C9" w:rsidRPr="000F0DD1">
        <w:rPr>
          <w:rFonts w:ascii="Segoe UI" w:hAnsi="Segoe UI" w:cs="Segoe UI"/>
        </w:rPr>
        <w:t>5</w:t>
      </w:r>
      <w:r w:rsidRPr="000F0DD1">
        <w:rPr>
          <w:rFonts w:ascii="Segoe UI" w:hAnsi="Segoe UI" w:cs="Segoe UI"/>
        </w:rPr>
        <w:t xml:space="preserve"> m. </w:t>
      </w:r>
      <w:r w:rsidR="000F0DD1">
        <w:rPr>
          <w:rFonts w:ascii="Segoe UI" w:hAnsi="Segoe UI" w:cs="Segoe UI"/>
        </w:rPr>
        <w:t xml:space="preserve">spalio </w:t>
      </w:r>
      <w:r w:rsidR="00027FF2">
        <w:rPr>
          <w:rFonts w:ascii="Segoe UI" w:hAnsi="Segoe UI" w:cs="Segoe UI"/>
          <w:lang w:val="en-US"/>
        </w:rPr>
        <w:t>20 d.</w:t>
      </w:r>
    </w:p>
    <w:p w14:paraId="7CD697AA" w14:textId="47509B65" w:rsidR="00CF7198" w:rsidRDefault="00CF7198" w:rsidP="00D83263">
      <w:pPr>
        <w:rPr>
          <w:rFonts w:ascii="Segoe UI" w:hAnsi="Segoe UI" w:cs="Segoe UI"/>
          <w:b/>
          <w:bCs/>
          <w:sz w:val="32"/>
          <w:szCs w:val="32"/>
        </w:rPr>
      </w:pPr>
      <w:r>
        <w:rPr>
          <w:rFonts w:ascii="Segoe UI" w:hAnsi="Segoe UI" w:cs="Segoe UI"/>
          <w:b/>
          <w:bCs/>
          <w:sz w:val="32"/>
          <w:szCs w:val="32"/>
        </w:rPr>
        <w:t>Kaip uždirbti</w:t>
      </w:r>
      <w:r w:rsidRPr="00CF7198">
        <w:rPr>
          <w:rFonts w:ascii="Segoe UI" w:hAnsi="Segoe UI" w:cs="Segoe UI"/>
          <w:b/>
          <w:bCs/>
          <w:sz w:val="32"/>
          <w:szCs w:val="32"/>
        </w:rPr>
        <w:t xml:space="preserve"> iš nekilnojamojo turto netur</w:t>
      </w:r>
      <w:r>
        <w:rPr>
          <w:rFonts w:ascii="Segoe UI" w:hAnsi="Segoe UI" w:cs="Segoe UI"/>
          <w:b/>
          <w:bCs/>
          <w:sz w:val="32"/>
          <w:szCs w:val="32"/>
        </w:rPr>
        <w:t>int</w:t>
      </w:r>
      <w:r w:rsidRPr="00CF7198">
        <w:rPr>
          <w:rFonts w:ascii="Segoe UI" w:hAnsi="Segoe UI" w:cs="Segoe UI"/>
          <w:b/>
          <w:bCs/>
          <w:sz w:val="32"/>
          <w:szCs w:val="32"/>
        </w:rPr>
        <w:t xml:space="preserve"> nė vieno kvadratinio metro</w:t>
      </w:r>
      <w:r>
        <w:rPr>
          <w:rFonts w:ascii="Segoe UI" w:hAnsi="Segoe UI" w:cs="Segoe UI"/>
          <w:b/>
          <w:bCs/>
          <w:sz w:val="32"/>
          <w:szCs w:val="32"/>
        </w:rPr>
        <w:t>?</w:t>
      </w:r>
    </w:p>
    <w:p w14:paraId="6B864E3B" w14:textId="3438D035" w:rsidR="00AA306A" w:rsidRPr="00AA306A" w:rsidRDefault="00AA306A" w:rsidP="00EC393C">
      <w:pPr>
        <w:jc w:val="both"/>
        <w:rPr>
          <w:rFonts w:ascii="Segoe UI" w:hAnsi="Segoe UI" w:cs="Segoe UI"/>
          <w:b/>
          <w:bCs/>
        </w:rPr>
      </w:pPr>
      <w:r w:rsidRPr="00AA306A">
        <w:rPr>
          <w:rFonts w:ascii="Segoe UI" w:hAnsi="Segoe UI" w:cs="Segoe UI"/>
          <w:b/>
          <w:bCs/>
        </w:rPr>
        <w:t xml:space="preserve">Nekilnojamojo turto (NT) rinka </w:t>
      </w:r>
      <w:r>
        <w:rPr>
          <w:rFonts w:ascii="Segoe UI" w:hAnsi="Segoe UI" w:cs="Segoe UI"/>
          <w:b/>
          <w:bCs/>
        </w:rPr>
        <w:t xml:space="preserve">jau </w:t>
      </w:r>
      <w:r w:rsidRPr="00AA306A">
        <w:rPr>
          <w:rFonts w:ascii="Segoe UI" w:hAnsi="Segoe UI" w:cs="Segoe UI"/>
          <w:b/>
          <w:bCs/>
        </w:rPr>
        <w:t>ilgą laiką</w:t>
      </w:r>
      <w:r>
        <w:rPr>
          <w:rFonts w:ascii="Segoe UI" w:hAnsi="Segoe UI" w:cs="Segoe UI"/>
          <w:b/>
          <w:bCs/>
        </w:rPr>
        <w:t xml:space="preserve"> </w:t>
      </w:r>
      <w:r w:rsidRPr="00AA306A">
        <w:rPr>
          <w:rFonts w:ascii="Segoe UI" w:hAnsi="Segoe UI" w:cs="Segoe UI"/>
          <w:b/>
          <w:bCs/>
        </w:rPr>
        <w:t>laikoma viena patikimiausių investavimo krypčių</w:t>
      </w:r>
      <w:r>
        <w:rPr>
          <w:rFonts w:ascii="Segoe UI" w:hAnsi="Segoe UI" w:cs="Segoe UI"/>
          <w:b/>
          <w:bCs/>
        </w:rPr>
        <w:t xml:space="preserve"> ir yra ypač populiari tarp Lietuvos gyventojų. </w:t>
      </w:r>
      <w:r w:rsidRPr="00AA306A">
        <w:rPr>
          <w:rFonts w:ascii="Segoe UI" w:hAnsi="Segoe UI" w:cs="Segoe UI"/>
          <w:b/>
          <w:bCs/>
        </w:rPr>
        <w:t xml:space="preserve">Tačiau ne visiems investuotojams patraukli idėja įsigyti objektą, rūpintis jo nuoma, priežiūra ar administravimu. Pasak „Luminor“ banko vyresniojo portfelio valdytojo Manto </w:t>
      </w:r>
      <w:proofErr w:type="spellStart"/>
      <w:r w:rsidRPr="00AA306A">
        <w:rPr>
          <w:rFonts w:ascii="Segoe UI" w:hAnsi="Segoe UI" w:cs="Segoe UI"/>
          <w:b/>
          <w:bCs/>
        </w:rPr>
        <w:t>Skardžiaus</w:t>
      </w:r>
      <w:proofErr w:type="spellEnd"/>
      <w:r w:rsidRPr="00AA306A">
        <w:rPr>
          <w:rFonts w:ascii="Segoe UI" w:hAnsi="Segoe UI" w:cs="Segoe UI"/>
          <w:b/>
          <w:bCs/>
        </w:rPr>
        <w:t>, šiuolaikinėje finansų rinkoje egzistuoja ne vienas būdas dalyvauti NT sektoriuje neturint tiesioginės nuosavybės.</w:t>
      </w:r>
    </w:p>
    <w:p w14:paraId="1A740E78" w14:textId="77777777" w:rsidR="00AA306A" w:rsidRPr="00AA306A" w:rsidRDefault="00AA306A" w:rsidP="00EC393C">
      <w:pPr>
        <w:jc w:val="both"/>
        <w:rPr>
          <w:rFonts w:ascii="Segoe UI" w:hAnsi="Segoe UI" w:cs="Segoe UI"/>
          <w:b/>
          <w:bCs/>
        </w:rPr>
      </w:pPr>
      <w:r w:rsidRPr="00AA306A">
        <w:rPr>
          <w:rFonts w:ascii="Segoe UI" w:hAnsi="Segoe UI" w:cs="Segoe UI"/>
          <w:b/>
          <w:bCs/>
        </w:rPr>
        <w:t>Investicijos per akcijas ir obligacijas</w:t>
      </w:r>
    </w:p>
    <w:p w14:paraId="715BCDC2" w14:textId="77777777" w:rsidR="00AA306A" w:rsidRPr="00AA306A" w:rsidRDefault="00AA306A" w:rsidP="00EC393C">
      <w:pPr>
        <w:jc w:val="both"/>
        <w:rPr>
          <w:rFonts w:ascii="Segoe UI" w:hAnsi="Segoe UI" w:cs="Segoe UI"/>
        </w:rPr>
      </w:pPr>
      <w:r w:rsidRPr="00AA306A">
        <w:rPr>
          <w:rFonts w:ascii="Segoe UI" w:hAnsi="Segoe UI" w:cs="Segoe UI"/>
        </w:rPr>
        <w:t>Vienas paprasčiausių būdų investuoti į NT – įsigyti šio sektoriaus įmonių akcijų arba obligacijų. Tai gali būti nekilnojamojo turto vystymo, objektus valdančios ar su šia sritimi susijusios bendrovės tiek Lietuvoje, tiek užsienyje. Tokia strategija leidžia investuoti mažesnėmis sumomis ir sutaupyti laiko, o kartu suteikia galimybę greičiau išskaidyti investicijų portfelį.</w:t>
      </w:r>
    </w:p>
    <w:p w14:paraId="69F18635" w14:textId="77777777" w:rsidR="00AA306A" w:rsidRPr="00AA306A" w:rsidRDefault="00AA306A" w:rsidP="00EC393C">
      <w:pPr>
        <w:jc w:val="both"/>
        <w:rPr>
          <w:rFonts w:ascii="Segoe UI" w:hAnsi="Segoe UI" w:cs="Segoe UI"/>
        </w:rPr>
      </w:pPr>
      <w:r w:rsidRPr="00AA306A">
        <w:rPr>
          <w:rFonts w:ascii="Segoe UI" w:hAnsi="Segoe UI" w:cs="Segoe UI"/>
        </w:rPr>
        <w:t>Pagrindinis šių finansinių priemonių skirtumas slypi jų prigimtyje – akcijos reiškia nuosavybės dalį įmonėje, o obligacijos yra paskolos forma. Obligacijų turėtojai turi pirmumo teisę, jei įmonė susidurtų su finansiniais sunkumais, todėl šios priemonės paprastai laikomos saugesnėmis. Vis dėlto akcijos ilgalaikėje perspektyvoje dažnai pasižymi didesne potencialia grąža, nors jų vertė rinkoje gali svyruoti labiau.</w:t>
      </w:r>
    </w:p>
    <w:p w14:paraId="71B68D79" w14:textId="474C9EB3" w:rsidR="00AA306A" w:rsidRPr="00AA306A" w:rsidRDefault="00AA306A" w:rsidP="00EC393C">
      <w:pPr>
        <w:jc w:val="both"/>
        <w:rPr>
          <w:rFonts w:ascii="Segoe UI" w:hAnsi="Segoe UI" w:cs="Segoe UI"/>
        </w:rPr>
      </w:pPr>
      <w:r w:rsidRPr="00AA306A">
        <w:rPr>
          <w:rFonts w:ascii="Segoe UI" w:hAnsi="Segoe UI" w:cs="Segoe UI"/>
        </w:rPr>
        <w:t xml:space="preserve">„Svarbu įvertinti ir tai, kad akcijos yra labiau prieinamos – dažniausiai nėra minimalaus pirkimo kiekio reikalavimų. </w:t>
      </w:r>
      <w:r>
        <w:rPr>
          <w:rFonts w:ascii="Segoe UI" w:hAnsi="Segoe UI" w:cs="Segoe UI"/>
        </w:rPr>
        <w:t>Na, o</w:t>
      </w:r>
      <w:r w:rsidRPr="00AA306A">
        <w:rPr>
          <w:rFonts w:ascii="Segoe UI" w:hAnsi="Segoe UI" w:cs="Segoe UI"/>
        </w:rPr>
        <w:t xml:space="preserve"> obligacijos gali turėti nustatytą mažiausią įsigyjamo kiekio ribą“, – pažymi M. Skardžius.</w:t>
      </w:r>
    </w:p>
    <w:p w14:paraId="035E3C38" w14:textId="77777777" w:rsidR="00AA306A" w:rsidRPr="00AA306A" w:rsidRDefault="00AA306A" w:rsidP="00EC393C">
      <w:pPr>
        <w:jc w:val="both"/>
        <w:rPr>
          <w:rFonts w:ascii="Segoe UI" w:hAnsi="Segoe UI" w:cs="Segoe UI"/>
          <w:b/>
          <w:bCs/>
        </w:rPr>
      </w:pPr>
      <w:r w:rsidRPr="00AA306A">
        <w:rPr>
          <w:rFonts w:ascii="Segoe UI" w:hAnsi="Segoe UI" w:cs="Segoe UI"/>
          <w:b/>
          <w:bCs/>
        </w:rPr>
        <w:t>REIT fondai: pasyvios pajamos iš NT</w:t>
      </w:r>
    </w:p>
    <w:p w14:paraId="5138DB21" w14:textId="77777777" w:rsidR="00AA306A" w:rsidRPr="00AA306A" w:rsidRDefault="00AA306A" w:rsidP="00EC393C">
      <w:pPr>
        <w:jc w:val="both"/>
        <w:rPr>
          <w:rFonts w:ascii="Segoe UI" w:hAnsi="Segoe UI" w:cs="Segoe UI"/>
        </w:rPr>
      </w:pPr>
      <w:r w:rsidRPr="00AA306A">
        <w:rPr>
          <w:rFonts w:ascii="Segoe UI" w:hAnsi="Segoe UI" w:cs="Segoe UI"/>
        </w:rPr>
        <w:t>Dar viena galimybė investuoti į NT rinką jo neperkant – REIT fondai („</w:t>
      </w:r>
      <w:proofErr w:type="spellStart"/>
      <w:r w:rsidRPr="00AA306A">
        <w:rPr>
          <w:rFonts w:ascii="Segoe UI" w:hAnsi="Segoe UI" w:cs="Segoe UI"/>
        </w:rPr>
        <w:t>Real</w:t>
      </w:r>
      <w:proofErr w:type="spellEnd"/>
      <w:r w:rsidRPr="00AA306A">
        <w:rPr>
          <w:rFonts w:ascii="Segoe UI" w:hAnsi="Segoe UI" w:cs="Segoe UI"/>
        </w:rPr>
        <w:t xml:space="preserve"> </w:t>
      </w:r>
      <w:proofErr w:type="spellStart"/>
      <w:r w:rsidRPr="00AA306A">
        <w:rPr>
          <w:rFonts w:ascii="Segoe UI" w:hAnsi="Segoe UI" w:cs="Segoe UI"/>
        </w:rPr>
        <w:t>Estate</w:t>
      </w:r>
      <w:proofErr w:type="spellEnd"/>
      <w:r w:rsidRPr="00AA306A">
        <w:rPr>
          <w:rFonts w:ascii="Segoe UI" w:hAnsi="Segoe UI" w:cs="Segoe UI"/>
        </w:rPr>
        <w:t xml:space="preserve"> </w:t>
      </w:r>
      <w:proofErr w:type="spellStart"/>
      <w:r w:rsidRPr="00AA306A">
        <w:rPr>
          <w:rFonts w:ascii="Segoe UI" w:hAnsi="Segoe UI" w:cs="Segoe UI"/>
        </w:rPr>
        <w:t>Investment</w:t>
      </w:r>
      <w:proofErr w:type="spellEnd"/>
      <w:r w:rsidRPr="00AA306A">
        <w:rPr>
          <w:rFonts w:ascii="Segoe UI" w:hAnsi="Segoe UI" w:cs="Segoe UI"/>
        </w:rPr>
        <w:t xml:space="preserve"> </w:t>
      </w:r>
      <w:proofErr w:type="spellStart"/>
      <w:r w:rsidRPr="00AA306A">
        <w:rPr>
          <w:rFonts w:ascii="Segoe UI" w:hAnsi="Segoe UI" w:cs="Segoe UI"/>
        </w:rPr>
        <w:t>Trust</w:t>
      </w:r>
      <w:proofErr w:type="spellEnd"/>
      <w:r w:rsidRPr="00AA306A">
        <w:rPr>
          <w:rFonts w:ascii="Segoe UI" w:hAnsi="Segoe UI" w:cs="Segoe UI"/>
        </w:rPr>
        <w:t>“). Šie fondai naudoja investuotojų lėšas NT objektams įsigyti, plėtoti ir valdyti, o uždirbtas pajamas paprastai išmoka dividendų forma. Tokiu būdu investuotojai gali gauti gana stabilų pajamų srautą iš nuomos, o jei rinkos sąlygos palankios – ir papildomą naudą iš turto vertės augimo.</w:t>
      </w:r>
    </w:p>
    <w:p w14:paraId="72E0183F" w14:textId="7453049E" w:rsidR="00AA306A" w:rsidRDefault="00AA306A" w:rsidP="00EC393C">
      <w:pPr>
        <w:jc w:val="both"/>
        <w:rPr>
          <w:rFonts w:ascii="Segoe UI" w:hAnsi="Segoe UI" w:cs="Segoe UI"/>
        </w:rPr>
      </w:pPr>
      <w:r w:rsidRPr="00AA306A">
        <w:rPr>
          <w:rFonts w:ascii="Segoe UI" w:hAnsi="Segoe UI" w:cs="Segoe UI"/>
        </w:rPr>
        <w:t xml:space="preserve">Vis dėlto </w:t>
      </w:r>
      <w:r>
        <w:rPr>
          <w:rFonts w:ascii="Segoe UI" w:hAnsi="Segoe UI" w:cs="Segoe UI"/>
        </w:rPr>
        <w:t>investavimas visada yra susijęs su rizika, ne išimtis ir REIT fondai. Pastarieji</w:t>
      </w:r>
      <w:r w:rsidRPr="00AA306A">
        <w:rPr>
          <w:rFonts w:ascii="Segoe UI" w:hAnsi="Segoe UI" w:cs="Segoe UI"/>
        </w:rPr>
        <w:t xml:space="preserve"> dažnai naudoja skolintas lėšas, todėl didėjant palūkanų normoms grąža gali sumažėti. </w:t>
      </w:r>
      <w:r w:rsidR="00AB5000">
        <w:rPr>
          <w:rFonts w:ascii="Segoe UI" w:hAnsi="Segoe UI" w:cs="Segoe UI"/>
        </w:rPr>
        <w:t xml:space="preserve">Žinoma, skirtingų NT rinkos sektorių REIT kainoms aktualios ir specifinės rizikos. Pavyzdžiui, biurų sektoriaus REIT fondų kainos bent iš dalies svyruos kartu su darbo iš namų madomis. Tuo tarpu mažmeninės prekybos REIT didžiausias rūpestis </w:t>
      </w:r>
      <w:r w:rsidR="00027FF2">
        <w:rPr>
          <w:rFonts w:ascii="Segoe UI" w:hAnsi="Segoe UI" w:cs="Segoe UI"/>
        </w:rPr>
        <w:t>–</w:t>
      </w:r>
      <w:r w:rsidR="00AB5000">
        <w:rPr>
          <w:rFonts w:ascii="Segoe UI" w:hAnsi="Segoe UI" w:cs="Segoe UI"/>
        </w:rPr>
        <w:t xml:space="preserve"> plintanti internetinė prekyba. </w:t>
      </w:r>
    </w:p>
    <w:p w14:paraId="37777B71" w14:textId="6CE74F71" w:rsidR="00AA306A" w:rsidRPr="00AA306A" w:rsidRDefault="00AA306A" w:rsidP="00EC393C">
      <w:pPr>
        <w:jc w:val="both"/>
        <w:rPr>
          <w:rFonts w:ascii="Segoe UI" w:hAnsi="Segoe UI" w:cs="Segoe UI"/>
        </w:rPr>
      </w:pPr>
      <w:r w:rsidRPr="00AA306A">
        <w:rPr>
          <w:rFonts w:ascii="Segoe UI" w:hAnsi="Segoe UI" w:cs="Segoe UI"/>
        </w:rPr>
        <w:t>„</w:t>
      </w:r>
      <w:r>
        <w:rPr>
          <w:rFonts w:ascii="Segoe UI" w:hAnsi="Segoe UI" w:cs="Segoe UI"/>
        </w:rPr>
        <w:t>I</w:t>
      </w:r>
      <w:r w:rsidRPr="00AA306A">
        <w:rPr>
          <w:rFonts w:ascii="Segoe UI" w:hAnsi="Segoe UI" w:cs="Segoe UI"/>
        </w:rPr>
        <w:t>nvestuotojai neturėtų tikėtis greitų rezultatų – šio tipo investicijos paprastai skirtos ilgesniam, penkerių ar daugiau metų, laikotarpiui“, – pabrėžia „Luminor“ atstovas.</w:t>
      </w:r>
    </w:p>
    <w:p w14:paraId="65CE3456" w14:textId="2830CD4F" w:rsidR="00AA306A" w:rsidRPr="00AA306A" w:rsidRDefault="00AA306A" w:rsidP="00EC393C">
      <w:pPr>
        <w:jc w:val="both"/>
        <w:rPr>
          <w:rFonts w:ascii="Segoe UI" w:hAnsi="Segoe UI" w:cs="Segoe UI"/>
          <w:b/>
          <w:bCs/>
        </w:rPr>
      </w:pPr>
      <w:r w:rsidRPr="00AA306A">
        <w:rPr>
          <w:rFonts w:ascii="Segoe UI" w:hAnsi="Segoe UI" w:cs="Segoe UI"/>
          <w:b/>
          <w:bCs/>
        </w:rPr>
        <w:t>Ilgalaikis požiūris ir diversifikacija – raktas į sėkmę</w:t>
      </w:r>
    </w:p>
    <w:p w14:paraId="28A5B6E1" w14:textId="1C011BD2" w:rsidR="00CF7198" w:rsidRPr="00CF7198" w:rsidRDefault="00CF7198" w:rsidP="00EC393C">
      <w:pPr>
        <w:jc w:val="both"/>
        <w:rPr>
          <w:rFonts w:ascii="Segoe UI" w:hAnsi="Segoe UI" w:cs="Segoe UI"/>
        </w:rPr>
      </w:pPr>
      <w:r w:rsidRPr="00CF7198">
        <w:rPr>
          <w:rFonts w:ascii="Segoe UI" w:hAnsi="Segoe UI" w:cs="Segoe UI"/>
        </w:rPr>
        <w:t>Pasak M</w:t>
      </w:r>
      <w:r>
        <w:rPr>
          <w:rFonts w:ascii="Segoe UI" w:hAnsi="Segoe UI" w:cs="Segoe UI"/>
        </w:rPr>
        <w:t>.</w:t>
      </w:r>
      <w:r w:rsidRPr="00CF7198">
        <w:rPr>
          <w:rFonts w:ascii="Segoe UI" w:hAnsi="Segoe UI" w:cs="Segoe UI"/>
        </w:rPr>
        <w:t xml:space="preserve"> </w:t>
      </w:r>
      <w:proofErr w:type="spellStart"/>
      <w:r w:rsidRPr="00CF7198">
        <w:rPr>
          <w:rFonts w:ascii="Segoe UI" w:hAnsi="Segoe UI" w:cs="Segoe UI"/>
        </w:rPr>
        <w:t>Skardžiaus</w:t>
      </w:r>
      <w:proofErr w:type="spellEnd"/>
      <w:r w:rsidRPr="00CF7198">
        <w:rPr>
          <w:rFonts w:ascii="Segoe UI" w:hAnsi="Segoe UI" w:cs="Segoe UI"/>
        </w:rPr>
        <w:t xml:space="preserve">, svarbiausia investuojant į nekilnojamąjį turtą – tiek tiesiogiai, tiek netiesiogiai – </w:t>
      </w:r>
      <w:r>
        <w:rPr>
          <w:rFonts w:ascii="Segoe UI" w:hAnsi="Segoe UI" w:cs="Segoe UI"/>
        </w:rPr>
        <w:t xml:space="preserve">yra </w:t>
      </w:r>
      <w:r w:rsidRPr="00CF7198">
        <w:rPr>
          <w:rFonts w:ascii="Segoe UI" w:hAnsi="Segoe UI" w:cs="Segoe UI"/>
        </w:rPr>
        <w:t>aiški ilgalaikė strategija. NT rinka paprastai pasižymi cikliškumu</w:t>
      </w:r>
      <w:r>
        <w:rPr>
          <w:rFonts w:ascii="Segoe UI" w:hAnsi="Segoe UI" w:cs="Segoe UI"/>
        </w:rPr>
        <w:t>, t</w:t>
      </w:r>
      <w:r w:rsidRPr="00CF7198">
        <w:rPr>
          <w:rFonts w:ascii="Segoe UI" w:hAnsi="Segoe UI" w:cs="Segoe UI"/>
        </w:rPr>
        <w:t xml:space="preserve">odėl nuoseklus ir ilgalaikis požiūris </w:t>
      </w:r>
      <w:r w:rsidRPr="00CF7198">
        <w:rPr>
          <w:rFonts w:ascii="Segoe UI" w:hAnsi="Segoe UI" w:cs="Segoe UI"/>
        </w:rPr>
        <w:lastRenderedPageBreak/>
        <w:t>padeda išvengti emocinių sprendimų, reaguojant į trumpalaikius svyravimus, ir leidžia išnaudoti visą rinkos potencialą.</w:t>
      </w:r>
    </w:p>
    <w:p w14:paraId="78658DDB" w14:textId="7B928D29" w:rsidR="00CF7198" w:rsidRPr="00CF7198" w:rsidRDefault="00CF7198" w:rsidP="00EC393C">
      <w:pPr>
        <w:jc w:val="both"/>
        <w:rPr>
          <w:rFonts w:ascii="Segoe UI" w:hAnsi="Segoe UI" w:cs="Segoe UI"/>
        </w:rPr>
      </w:pPr>
      <w:r>
        <w:rPr>
          <w:rFonts w:ascii="Segoe UI" w:hAnsi="Segoe UI" w:cs="Segoe UI"/>
        </w:rPr>
        <w:t>„</w:t>
      </w:r>
      <w:r w:rsidRPr="00CF7198">
        <w:rPr>
          <w:rFonts w:ascii="Segoe UI" w:hAnsi="Segoe UI" w:cs="Segoe UI"/>
        </w:rPr>
        <w:t>Nors investavimas per akcijas, obligacijas ar REIT fondus suteikia daugiau lankstumo ir reikalauja mažesnių pradinių investicijų, tradicinis būdas – įsigyti konkretų NT objektą – išlieka aktualus ir gali būti reikšminga investicinės strategijos dalis. Nuosavybė suteikia tiesioginę kontrolę, galimybę generuoti pastovias pajamas iš nuomos ir pasinaudoti turto vertės augimu ilguoju laikotarpiu. Vis dėlto toks sprendimas reikalauja didesnio kapitalo, daugiau laiko bei dėmesio, todėl jį dažnai verta derinti su kitomis investavimo formomis</w:t>
      </w:r>
      <w:r>
        <w:rPr>
          <w:rFonts w:ascii="Segoe UI" w:hAnsi="Segoe UI" w:cs="Segoe UI"/>
        </w:rPr>
        <w:t>“, – sako „Luminor“ banko ekspertas.</w:t>
      </w:r>
    </w:p>
    <w:p w14:paraId="3DCDDA5C" w14:textId="7965E691" w:rsidR="00AA306A" w:rsidRPr="00CF7198" w:rsidRDefault="00CF7198" w:rsidP="00EC393C">
      <w:pPr>
        <w:jc w:val="both"/>
        <w:rPr>
          <w:rFonts w:ascii="Segoe UI" w:hAnsi="Segoe UI" w:cs="Segoe UI"/>
        </w:rPr>
      </w:pPr>
      <w:r w:rsidRPr="00CF7198">
        <w:rPr>
          <w:rFonts w:ascii="Segoe UI" w:hAnsi="Segoe UI" w:cs="Segoe UI"/>
        </w:rPr>
        <w:t>Portfelio diversifikavimas – tiek pagal finansines priemones, tiek pagal turto klases ar geografinius regionus – padeda išskaidyti riziką ir apsisaugoti nuo vieno sektoriaus ar konkrečios įmonės rezultatų. Pavyzdžiui, dalį lėšų galima skirti akcijoms ar REIT fondams, dalį – obligacijoms, o likusią – investicijai į butą ar komercinį objektą.</w:t>
      </w:r>
      <w:r>
        <w:rPr>
          <w:rFonts w:ascii="Segoe UI" w:hAnsi="Segoe UI" w:cs="Segoe UI"/>
        </w:rPr>
        <w:t xml:space="preserve"> </w:t>
      </w:r>
      <w:r w:rsidRPr="00CF7198">
        <w:rPr>
          <w:rFonts w:ascii="Segoe UI" w:hAnsi="Segoe UI" w:cs="Segoe UI"/>
        </w:rPr>
        <w:t>Ilgalaikėje perspektyvoje būtent diversifikacija ir nuoseklumas dažniausiai lemia sėkmę</w:t>
      </w:r>
      <w:r>
        <w:rPr>
          <w:rFonts w:ascii="Segoe UI" w:hAnsi="Segoe UI" w:cs="Segoe UI"/>
        </w:rPr>
        <w:t>, pabrėžia M. Skardžius.</w:t>
      </w:r>
    </w:p>
    <w:p w14:paraId="0C9133A6" w14:textId="77777777" w:rsidR="00AA306A" w:rsidRPr="00DF3595" w:rsidRDefault="00AA306A" w:rsidP="00EC393C">
      <w:pPr>
        <w:jc w:val="both"/>
        <w:rPr>
          <w:rStyle w:val="normaltextrun"/>
          <w:rFonts w:ascii="Segoe UI" w:hAnsi="Segoe UI" w:cs="Segoe UI"/>
          <w:b/>
          <w:bCs/>
          <w:sz w:val="20"/>
          <w:szCs w:val="20"/>
        </w:rPr>
      </w:pPr>
    </w:p>
    <w:p w14:paraId="31705108" w14:textId="25DEEBBF" w:rsidR="00075971" w:rsidRPr="00DF3595" w:rsidRDefault="00075971" w:rsidP="00075971">
      <w:pPr>
        <w:rPr>
          <w:rStyle w:val="eop"/>
          <w:rFonts w:ascii="Segoe UI" w:hAnsi="Segoe UI" w:cs="Segoe UI"/>
          <w:sz w:val="20"/>
          <w:szCs w:val="20"/>
        </w:rPr>
      </w:pPr>
      <w:r w:rsidRPr="00DF3595">
        <w:rPr>
          <w:rStyle w:val="normaltextrun"/>
          <w:rFonts w:ascii="Segoe UI" w:hAnsi="Segoe UI" w:cs="Segoe UI"/>
          <w:b/>
          <w:bCs/>
          <w:sz w:val="20"/>
          <w:szCs w:val="20"/>
        </w:rPr>
        <w:t>Apie „</w:t>
      </w:r>
      <w:r w:rsidRPr="00DF3595">
        <w:rPr>
          <w:rStyle w:val="spellingerror"/>
          <w:rFonts w:ascii="Segoe UI" w:hAnsi="Segoe UI" w:cs="Segoe UI"/>
          <w:b/>
          <w:bCs/>
        </w:rPr>
        <w:t>Luminor</w:t>
      </w:r>
      <w:r w:rsidRPr="00DF3595">
        <w:rPr>
          <w:rStyle w:val="normaltextrun"/>
          <w:rFonts w:ascii="Segoe UI" w:hAnsi="Segoe UI" w:cs="Segoe UI"/>
          <w:b/>
          <w:bCs/>
          <w:sz w:val="20"/>
          <w:szCs w:val="20"/>
        </w:rPr>
        <w:t>“:</w:t>
      </w:r>
    </w:p>
    <w:p w14:paraId="2857FAB8" w14:textId="15B4D4D5" w:rsidR="008535B1" w:rsidRPr="00DF3595" w:rsidRDefault="008535B1" w:rsidP="00075971">
      <w:pPr>
        <w:rPr>
          <w:rStyle w:val="eop"/>
          <w:rFonts w:ascii="Segoe UI" w:hAnsi="Segoe UI" w:cs="Segoe UI"/>
          <w:sz w:val="20"/>
          <w:szCs w:val="20"/>
        </w:rPr>
      </w:pPr>
      <w:r w:rsidRPr="00DF3595">
        <w:rPr>
          <w:rFonts w:ascii="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tgtFrame="_blank" w:history="1">
        <w:r w:rsidRPr="00DF3595">
          <w:rPr>
            <w:rStyle w:val="Hipersaitas"/>
            <w:rFonts w:ascii="Segoe UI" w:hAnsi="Segoe UI" w:cs="Segoe UI"/>
            <w:sz w:val="20"/>
            <w:szCs w:val="20"/>
          </w:rPr>
          <w:t>čia</w:t>
        </w:r>
      </w:hyperlink>
      <w:r w:rsidRPr="00DF3595">
        <w:rPr>
          <w:rFonts w:ascii="Segoe UI" w:hAnsi="Segoe UI" w:cs="Segoe UI"/>
          <w:sz w:val="20"/>
          <w:szCs w:val="20"/>
        </w:rPr>
        <w:t>.</w:t>
      </w:r>
      <w:r w:rsidRPr="00DF3595" w:rsidDel="008535B1">
        <w:rPr>
          <w:rFonts w:ascii="Segoe UI" w:hAnsi="Segoe UI" w:cs="Segoe UI"/>
          <w:sz w:val="20"/>
          <w:szCs w:val="20"/>
        </w:rPr>
        <w:t xml:space="preserve"> </w:t>
      </w:r>
    </w:p>
    <w:p w14:paraId="2E1E2B86" w14:textId="77777777" w:rsidR="00605421" w:rsidRPr="00DF3595" w:rsidRDefault="00605421" w:rsidP="00075971">
      <w:pPr>
        <w:rPr>
          <w:rStyle w:val="eop"/>
          <w:rFonts w:ascii="Segoe UI" w:hAnsi="Segoe UI" w:cs="Segoe UI"/>
          <w:color w:val="000000"/>
          <w:sz w:val="20"/>
          <w:szCs w:val="20"/>
        </w:rPr>
      </w:pPr>
    </w:p>
    <w:p w14:paraId="0C3BFAAB" w14:textId="77777777" w:rsidR="00605421" w:rsidRPr="00DF3595" w:rsidRDefault="00605421" w:rsidP="00605421">
      <w:pPr>
        <w:suppressAutoHyphens/>
        <w:spacing w:after="0" w:line="240" w:lineRule="auto"/>
        <w:rPr>
          <w:rFonts w:ascii="Segoe UI" w:eastAsia="Segoe UI" w:hAnsi="Segoe UI" w:cs="Segoe UI"/>
          <w:b/>
          <w:bCs/>
          <w:sz w:val="20"/>
          <w:szCs w:val="20"/>
        </w:rPr>
      </w:pPr>
      <w:r w:rsidRPr="00DF3595">
        <w:rPr>
          <w:rFonts w:ascii="Segoe UI" w:eastAsia="Segoe UI" w:hAnsi="Segoe UI" w:cs="Segoe UI"/>
          <w:b/>
          <w:bCs/>
          <w:sz w:val="20"/>
          <w:szCs w:val="20"/>
        </w:rPr>
        <w:t>Daugiau informacijos:</w:t>
      </w:r>
    </w:p>
    <w:p w14:paraId="7F8EC1AE" w14:textId="14A56E54" w:rsidR="00075971" w:rsidRPr="00DF3595" w:rsidRDefault="00607D29" w:rsidP="00075971">
      <w:pPr>
        <w:spacing w:after="0" w:line="240" w:lineRule="auto"/>
        <w:rPr>
          <w:rStyle w:val="Hipersaitas"/>
          <w:rFonts w:ascii="Segoe UI" w:hAnsi="Segoe UI" w:cs="Segoe UI"/>
          <w:sz w:val="20"/>
          <w:szCs w:val="20"/>
        </w:rPr>
      </w:pPr>
      <w:r w:rsidRPr="00607D29">
        <w:rPr>
          <w:rFonts w:ascii="Segoe UI" w:eastAsia="Segoe UI" w:hAnsi="Segoe UI" w:cs="Segoe UI"/>
          <w:sz w:val="20"/>
          <w:szCs w:val="20"/>
        </w:rPr>
        <w:t>Šarūnas Kubilius</w:t>
      </w:r>
      <w:r w:rsidRPr="00607D29">
        <w:rPr>
          <w:rFonts w:ascii="Segoe UI" w:eastAsia="Segoe UI" w:hAnsi="Segoe UI" w:cs="Segoe UI"/>
          <w:sz w:val="20"/>
          <w:szCs w:val="20"/>
        </w:rPr>
        <w:br/>
        <w:t>„Luminor“ komunikacijos projektų vadovas</w:t>
      </w:r>
      <w:r w:rsidRPr="00607D29">
        <w:rPr>
          <w:rFonts w:ascii="Segoe UI" w:eastAsia="Segoe UI" w:hAnsi="Segoe UI" w:cs="Segoe UI"/>
          <w:sz w:val="20"/>
          <w:szCs w:val="20"/>
        </w:rPr>
        <w:br/>
        <w:t>Tel.: +370 623 48086</w:t>
      </w:r>
      <w:r w:rsidRPr="00607D29">
        <w:rPr>
          <w:rFonts w:ascii="Segoe UI" w:eastAsia="Segoe UI" w:hAnsi="Segoe UI" w:cs="Segoe UI"/>
          <w:sz w:val="20"/>
          <w:szCs w:val="20"/>
        </w:rPr>
        <w:br/>
        <w:t>El. p.: </w:t>
      </w:r>
      <w:hyperlink r:id="rId8" w:history="1">
        <w:r w:rsidRPr="00607D29">
          <w:rPr>
            <w:rStyle w:val="Hipersaitas"/>
            <w:rFonts w:ascii="Segoe UI" w:eastAsia="Segoe UI" w:hAnsi="Segoe UI" w:cs="Segoe UI"/>
            <w:sz w:val="20"/>
            <w:szCs w:val="20"/>
          </w:rPr>
          <w:t>sarunas.kubilius@luminorgroup.com</w:t>
        </w:r>
      </w:hyperlink>
    </w:p>
    <w:p w14:paraId="6F9413E9" w14:textId="77777777" w:rsidR="00075971" w:rsidRPr="00DF3595" w:rsidRDefault="00075971" w:rsidP="00663DC3">
      <w:pPr>
        <w:jc w:val="both"/>
        <w:rPr>
          <w:rFonts w:ascii="Segoe UI" w:hAnsi="Segoe UI" w:cs="Segoe UI"/>
        </w:rPr>
      </w:pPr>
    </w:p>
    <w:p w14:paraId="37C1D1E0" w14:textId="7489E2AE" w:rsidR="00014B0D" w:rsidRPr="00DF3595" w:rsidRDefault="00014B0D" w:rsidP="00663DC3">
      <w:pPr>
        <w:jc w:val="both"/>
        <w:rPr>
          <w:rFonts w:ascii="Segoe UI" w:hAnsi="Segoe UI" w:cs="Segoe UI"/>
        </w:rPr>
      </w:pPr>
    </w:p>
    <w:p w14:paraId="508C6011" w14:textId="77777777" w:rsidR="00014B0D" w:rsidRPr="00DF3595" w:rsidRDefault="00014B0D" w:rsidP="00663DC3">
      <w:pPr>
        <w:jc w:val="both"/>
        <w:rPr>
          <w:rFonts w:ascii="Segoe UI" w:hAnsi="Segoe UI" w:cs="Segoe UI"/>
        </w:rPr>
      </w:pPr>
    </w:p>
    <w:p w14:paraId="11D3813B" w14:textId="77777777" w:rsidR="005E2BDA" w:rsidRPr="00DF3595" w:rsidRDefault="005E2BDA"/>
    <w:sectPr w:rsidR="005E2BDA" w:rsidRPr="00DF3595" w:rsidSect="00D83263">
      <w:headerReference w:type="default" r:id="rId9"/>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4047" w14:textId="77777777" w:rsidR="00607DD3" w:rsidRDefault="00607DD3">
      <w:pPr>
        <w:spacing w:after="0" w:line="240" w:lineRule="auto"/>
      </w:pPr>
      <w:r>
        <w:separator/>
      </w:r>
    </w:p>
  </w:endnote>
  <w:endnote w:type="continuationSeparator" w:id="0">
    <w:p w14:paraId="1BE30F59" w14:textId="77777777" w:rsidR="00607DD3" w:rsidRDefault="0060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147B1" w14:textId="77777777" w:rsidR="00607DD3" w:rsidRDefault="00607DD3">
      <w:pPr>
        <w:spacing w:after="0" w:line="240" w:lineRule="auto"/>
      </w:pPr>
      <w:r>
        <w:separator/>
      </w:r>
    </w:p>
  </w:footnote>
  <w:footnote w:type="continuationSeparator" w:id="0">
    <w:p w14:paraId="1863CD7A" w14:textId="77777777" w:rsidR="00607DD3" w:rsidRDefault="00607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64258" w14:textId="77777777" w:rsidR="00DB27C5" w:rsidRDefault="00D83263">
    <w:pPr>
      <w:pStyle w:val="Antrats"/>
    </w:pPr>
    <w:r>
      <w:rPr>
        <w:noProof/>
        <w:lang w:val="en-US"/>
      </w:rPr>
      <w:drawing>
        <wp:anchor distT="0" distB="0" distL="114300" distR="114300" simplePos="0" relativeHeight="251659264" behindDoc="0" locked="0" layoutInCell="1" allowOverlap="1" wp14:anchorId="03A98D9E" wp14:editId="1AAAA5F1">
          <wp:simplePos x="0" y="0"/>
          <wp:positionH relativeFrom="margin">
            <wp:posOffset>-215900</wp:posOffset>
          </wp:positionH>
          <wp:positionV relativeFrom="paragraph">
            <wp:posOffset>-127000</wp:posOffset>
          </wp:positionV>
          <wp:extent cx="1857375" cy="542925"/>
          <wp:effectExtent l="0" t="0" r="9525" b="9525"/>
          <wp:wrapSquare wrapText="bothSides"/>
          <wp:docPr id="1993291002" name="Picture 199329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61438"/>
    <w:multiLevelType w:val="hybridMultilevel"/>
    <w:tmpl w:val="58A413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3264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9B"/>
    <w:rsid w:val="00014B0D"/>
    <w:rsid w:val="00027FF2"/>
    <w:rsid w:val="0003506B"/>
    <w:rsid w:val="000448FB"/>
    <w:rsid w:val="00051803"/>
    <w:rsid w:val="0005646F"/>
    <w:rsid w:val="00056EC3"/>
    <w:rsid w:val="00064448"/>
    <w:rsid w:val="00064505"/>
    <w:rsid w:val="00075971"/>
    <w:rsid w:val="000E0057"/>
    <w:rsid w:val="000E4089"/>
    <w:rsid w:val="000F03DB"/>
    <w:rsid w:val="000F0DD1"/>
    <w:rsid w:val="000F55B3"/>
    <w:rsid w:val="0010099B"/>
    <w:rsid w:val="00107292"/>
    <w:rsid w:val="0011759F"/>
    <w:rsid w:val="00117F9F"/>
    <w:rsid w:val="00131CCA"/>
    <w:rsid w:val="00132345"/>
    <w:rsid w:val="00155C67"/>
    <w:rsid w:val="00157AE4"/>
    <w:rsid w:val="00173706"/>
    <w:rsid w:val="001927F7"/>
    <w:rsid w:val="00197DA4"/>
    <w:rsid w:val="001C6EF1"/>
    <w:rsid w:val="001F5A79"/>
    <w:rsid w:val="00220A11"/>
    <w:rsid w:val="00255A0F"/>
    <w:rsid w:val="00261D3D"/>
    <w:rsid w:val="002873CD"/>
    <w:rsid w:val="00292407"/>
    <w:rsid w:val="002C1620"/>
    <w:rsid w:val="002C781F"/>
    <w:rsid w:val="002D3245"/>
    <w:rsid w:val="002E0051"/>
    <w:rsid w:val="002E492B"/>
    <w:rsid w:val="00302D00"/>
    <w:rsid w:val="0035396D"/>
    <w:rsid w:val="003577DF"/>
    <w:rsid w:val="0036024A"/>
    <w:rsid w:val="003A1F7E"/>
    <w:rsid w:val="003C2561"/>
    <w:rsid w:val="004306F8"/>
    <w:rsid w:val="00451AA0"/>
    <w:rsid w:val="00454547"/>
    <w:rsid w:val="00466F9B"/>
    <w:rsid w:val="004743F5"/>
    <w:rsid w:val="00484513"/>
    <w:rsid w:val="0049180C"/>
    <w:rsid w:val="004B62CE"/>
    <w:rsid w:val="004D0B4E"/>
    <w:rsid w:val="004D0F12"/>
    <w:rsid w:val="004E6629"/>
    <w:rsid w:val="004F46C9"/>
    <w:rsid w:val="005213AA"/>
    <w:rsid w:val="00524B72"/>
    <w:rsid w:val="005650C9"/>
    <w:rsid w:val="0057591C"/>
    <w:rsid w:val="00584C4F"/>
    <w:rsid w:val="0058757A"/>
    <w:rsid w:val="005922B0"/>
    <w:rsid w:val="00594C54"/>
    <w:rsid w:val="005B65A8"/>
    <w:rsid w:val="005C01D2"/>
    <w:rsid w:val="005C45F9"/>
    <w:rsid w:val="005E2BDA"/>
    <w:rsid w:val="005F1671"/>
    <w:rsid w:val="005F4D04"/>
    <w:rsid w:val="00605421"/>
    <w:rsid w:val="00607D29"/>
    <w:rsid w:val="00607DD3"/>
    <w:rsid w:val="0061169E"/>
    <w:rsid w:val="006173EE"/>
    <w:rsid w:val="00617760"/>
    <w:rsid w:val="00622400"/>
    <w:rsid w:val="0062575B"/>
    <w:rsid w:val="00627006"/>
    <w:rsid w:val="006321D6"/>
    <w:rsid w:val="0064068B"/>
    <w:rsid w:val="00641BE9"/>
    <w:rsid w:val="00653F2D"/>
    <w:rsid w:val="00663DC3"/>
    <w:rsid w:val="00664A8E"/>
    <w:rsid w:val="00666B3F"/>
    <w:rsid w:val="00685938"/>
    <w:rsid w:val="006955DD"/>
    <w:rsid w:val="006D51D4"/>
    <w:rsid w:val="006E707E"/>
    <w:rsid w:val="00704FDE"/>
    <w:rsid w:val="00710C7E"/>
    <w:rsid w:val="00733F0E"/>
    <w:rsid w:val="00734CAD"/>
    <w:rsid w:val="00735554"/>
    <w:rsid w:val="0073670E"/>
    <w:rsid w:val="007425C5"/>
    <w:rsid w:val="007443C9"/>
    <w:rsid w:val="007608FA"/>
    <w:rsid w:val="00782F5E"/>
    <w:rsid w:val="00784BD4"/>
    <w:rsid w:val="00792FC6"/>
    <w:rsid w:val="007D4726"/>
    <w:rsid w:val="007F36E6"/>
    <w:rsid w:val="00801714"/>
    <w:rsid w:val="0083489E"/>
    <w:rsid w:val="0084045B"/>
    <w:rsid w:val="00841707"/>
    <w:rsid w:val="00850F36"/>
    <w:rsid w:val="008535B1"/>
    <w:rsid w:val="0088330B"/>
    <w:rsid w:val="008B007A"/>
    <w:rsid w:val="008B2A01"/>
    <w:rsid w:val="008B4EF4"/>
    <w:rsid w:val="008B694B"/>
    <w:rsid w:val="008C7C88"/>
    <w:rsid w:val="008F1154"/>
    <w:rsid w:val="00915A6A"/>
    <w:rsid w:val="00955A55"/>
    <w:rsid w:val="00957B32"/>
    <w:rsid w:val="009A0B8A"/>
    <w:rsid w:val="009B4113"/>
    <w:rsid w:val="009B63DD"/>
    <w:rsid w:val="009B77F5"/>
    <w:rsid w:val="009E3E2A"/>
    <w:rsid w:val="009E5518"/>
    <w:rsid w:val="00A04F43"/>
    <w:rsid w:val="00A24B74"/>
    <w:rsid w:val="00A620E8"/>
    <w:rsid w:val="00A6428F"/>
    <w:rsid w:val="00A85E9A"/>
    <w:rsid w:val="00AA306A"/>
    <w:rsid w:val="00AB28D1"/>
    <w:rsid w:val="00AB5000"/>
    <w:rsid w:val="00AB6D95"/>
    <w:rsid w:val="00AD38F4"/>
    <w:rsid w:val="00AE489A"/>
    <w:rsid w:val="00AF27A6"/>
    <w:rsid w:val="00B03B5D"/>
    <w:rsid w:val="00B10C55"/>
    <w:rsid w:val="00B36A1C"/>
    <w:rsid w:val="00B50205"/>
    <w:rsid w:val="00B50BF1"/>
    <w:rsid w:val="00B53374"/>
    <w:rsid w:val="00B604E4"/>
    <w:rsid w:val="00B718B8"/>
    <w:rsid w:val="00B87CD6"/>
    <w:rsid w:val="00B92BFF"/>
    <w:rsid w:val="00B978BB"/>
    <w:rsid w:val="00BB15AF"/>
    <w:rsid w:val="00BE3E1F"/>
    <w:rsid w:val="00BF2AF3"/>
    <w:rsid w:val="00C00AF0"/>
    <w:rsid w:val="00C131FE"/>
    <w:rsid w:val="00C43F34"/>
    <w:rsid w:val="00C9774D"/>
    <w:rsid w:val="00CB17F8"/>
    <w:rsid w:val="00CB2F0F"/>
    <w:rsid w:val="00CB5305"/>
    <w:rsid w:val="00CE535D"/>
    <w:rsid w:val="00CE600B"/>
    <w:rsid w:val="00CF7198"/>
    <w:rsid w:val="00D226A2"/>
    <w:rsid w:val="00D25A65"/>
    <w:rsid w:val="00D6028D"/>
    <w:rsid w:val="00D83263"/>
    <w:rsid w:val="00D9273B"/>
    <w:rsid w:val="00D946FA"/>
    <w:rsid w:val="00DA5038"/>
    <w:rsid w:val="00DB27C5"/>
    <w:rsid w:val="00DD6825"/>
    <w:rsid w:val="00DF3595"/>
    <w:rsid w:val="00E05AD4"/>
    <w:rsid w:val="00E06AD5"/>
    <w:rsid w:val="00E06FAD"/>
    <w:rsid w:val="00E15B62"/>
    <w:rsid w:val="00E409E3"/>
    <w:rsid w:val="00E95B31"/>
    <w:rsid w:val="00EB19AA"/>
    <w:rsid w:val="00EC393C"/>
    <w:rsid w:val="00ED3E37"/>
    <w:rsid w:val="00EF2583"/>
    <w:rsid w:val="00F005D0"/>
    <w:rsid w:val="00F2073C"/>
    <w:rsid w:val="00F25B72"/>
    <w:rsid w:val="00F41461"/>
    <w:rsid w:val="00F44E40"/>
    <w:rsid w:val="00F5131A"/>
    <w:rsid w:val="00F51A64"/>
    <w:rsid w:val="00F55B10"/>
    <w:rsid w:val="00F67F08"/>
    <w:rsid w:val="00F7357E"/>
    <w:rsid w:val="00F91A64"/>
    <w:rsid w:val="00FA3FD1"/>
    <w:rsid w:val="00FD1711"/>
    <w:rsid w:val="00FD52EC"/>
    <w:rsid w:val="00FE19F6"/>
    <w:rsid w:val="00FE696A"/>
    <w:rsid w:val="00FF78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ADA0"/>
  <w15:chartTrackingRefBased/>
  <w15:docId w15:val="{6898C0D2-39CF-4C57-A74E-ADB49D80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5038"/>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503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A5038"/>
    <w:rPr>
      <w:kern w:val="0"/>
      <w14:ligatures w14:val="none"/>
    </w:rPr>
  </w:style>
  <w:style w:type="character" w:styleId="Hipersaitas">
    <w:name w:val="Hyperlink"/>
    <w:basedOn w:val="Numatytasispastraiposriftas"/>
    <w:uiPriority w:val="99"/>
    <w:unhideWhenUsed/>
    <w:rsid w:val="00DA5038"/>
    <w:rPr>
      <w:color w:val="0000FF"/>
      <w:u w:val="single"/>
    </w:rPr>
  </w:style>
  <w:style w:type="paragraph" w:styleId="Komentarotekstas">
    <w:name w:val="annotation text"/>
    <w:basedOn w:val="prastasis"/>
    <w:link w:val="KomentarotekstasDiagrama"/>
    <w:uiPriority w:val="99"/>
    <w:unhideWhenUsed/>
    <w:rsid w:val="00DA503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A5038"/>
    <w:rPr>
      <w:kern w:val="0"/>
      <w:sz w:val="20"/>
      <w:szCs w:val="20"/>
      <w14:ligatures w14:val="none"/>
    </w:rPr>
  </w:style>
  <w:style w:type="character" w:customStyle="1" w:styleId="normaltextrun">
    <w:name w:val="normaltextrun"/>
    <w:basedOn w:val="Numatytasispastraiposriftas"/>
    <w:rsid w:val="00DA5038"/>
  </w:style>
  <w:style w:type="character" w:customStyle="1" w:styleId="eop">
    <w:name w:val="eop"/>
    <w:basedOn w:val="Numatytasispastraiposriftas"/>
    <w:rsid w:val="00DA5038"/>
  </w:style>
  <w:style w:type="character" w:customStyle="1" w:styleId="spellingerror">
    <w:name w:val="spellingerror"/>
    <w:basedOn w:val="Numatytasispastraiposriftas"/>
    <w:rsid w:val="00DA5038"/>
  </w:style>
  <w:style w:type="character" w:styleId="Komentaronuoroda">
    <w:name w:val="annotation reference"/>
    <w:basedOn w:val="Numatytasispastraiposriftas"/>
    <w:uiPriority w:val="99"/>
    <w:semiHidden/>
    <w:unhideWhenUsed/>
    <w:rsid w:val="0062575B"/>
    <w:rPr>
      <w:sz w:val="16"/>
      <w:szCs w:val="16"/>
    </w:rPr>
  </w:style>
  <w:style w:type="paragraph" w:styleId="Komentarotema">
    <w:name w:val="annotation subject"/>
    <w:basedOn w:val="Komentarotekstas"/>
    <w:next w:val="Komentarotekstas"/>
    <w:link w:val="KomentarotemaDiagrama"/>
    <w:uiPriority w:val="99"/>
    <w:semiHidden/>
    <w:unhideWhenUsed/>
    <w:rsid w:val="0062575B"/>
    <w:rPr>
      <w:b/>
      <w:bCs/>
    </w:rPr>
  </w:style>
  <w:style w:type="character" w:customStyle="1" w:styleId="KomentarotemaDiagrama">
    <w:name w:val="Komentaro tema Diagrama"/>
    <w:basedOn w:val="KomentarotekstasDiagrama"/>
    <w:link w:val="Komentarotema"/>
    <w:uiPriority w:val="99"/>
    <w:semiHidden/>
    <w:rsid w:val="0062575B"/>
    <w:rPr>
      <w:b/>
      <w:bCs/>
      <w:kern w:val="0"/>
      <w:sz w:val="20"/>
      <w:szCs w:val="20"/>
      <w14:ligatures w14:val="none"/>
    </w:rPr>
  </w:style>
  <w:style w:type="paragraph" w:styleId="Pataisymai">
    <w:name w:val="Revision"/>
    <w:hidden/>
    <w:uiPriority w:val="99"/>
    <w:semiHidden/>
    <w:rsid w:val="0062575B"/>
    <w:pPr>
      <w:spacing w:after="0" w:line="240" w:lineRule="auto"/>
    </w:pPr>
    <w:rPr>
      <w:kern w:val="0"/>
      <w14:ligatures w14:val="none"/>
    </w:rPr>
  </w:style>
  <w:style w:type="paragraph" w:styleId="Sraopastraipa">
    <w:name w:val="List Paragraph"/>
    <w:basedOn w:val="prastasis"/>
    <w:uiPriority w:val="34"/>
    <w:qFormat/>
    <w:rsid w:val="00C00AF0"/>
    <w:pPr>
      <w:ind w:left="720"/>
      <w:contextualSpacing/>
    </w:pPr>
  </w:style>
  <w:style w:type="character" w:customStyle="1" w:styleId="Hyperlink0">
    <w:name w:val="Hyperlink.0"/>
    <w:basedOn w:val="Numatytasispastraiposriftas"/>
    <w:rsid w:val="00605421"/>
    <w:rPr>
      <w:rFonts w:ascii="Segoe UI" w:eastAsia="Segoe UI" w:hAnsi="Segoe UI" w:cs="Segoe UI"/>
      <w:outline w:val="0"/>
      <w:color w:val="0000FF"/>
      <w:sz w:val="20"/>
      <w:szCs w:val="20"/>
      <w:u w:val="single" w:color="0000FF"/>
    </w:rPr>
  </w:style>
  <w:style w:type="character" w:styleId="Neapdorotaspaminjimas">
    <w:name w:val="Unresolved Mention"/>
    <w:basedOn w:val="Numatytasispastraiposriftas"/>
    <w:uiPriority w:val="99"/>
    <w:semiHidden/>
    <w:unhideWhenUsed/>
    <w:rsid w:val="008535B1"/>
    <w:rPr>
      <w:color w:val="605E5C"/>
      <w:shd w:val="clear" w:color="auto" w:fill="E1DFDD"/>
    </w:rPr>
  </w:style>
  <w:style w:type="character" w:styleId="Perirtashipersaitas">
    <w:name w:val="FollowedHyperlink"/>
    <w:basedOn w:val="Numatytasispastraiposriftas"/>
    <w:uiPriority w:val="99"/>
    <w:semiHidden/>
    <w:unhideWhenUsed/>
    <w:rsid w:val="003A1F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19629">
      <w:bodyDiv w:val="1"/>
      <w:marLeft w:val="0"/>
      <w:marRight w:val="0"/>
      <w:marTop w:val="0"/>
      <w:marBottom w:val="0"/>
      <w:divBdr>
        <w:top w:val="none" w:sz="0" w:space="0" w:color="auto"/>
        <w:left w:val="none" w:sz="0" w:space="0" w:color="auto"/>
        <w:bottom w:val="none" w:sz="0" w:space="0" w:color="auto"/>
        <w:right w:val="none" w:sz="0" w:space="0" w:color="auto"/>
      </w:divBdr>
    </w:div>
    <w:div w:id="1059402882">
      <w:bodyDiv w:val="1"/>
      <w:marLeft w:val="0"/>
      <w:marRight w:val="0"/>
      <w:marTop w:val="0"/>
      <w:marBottom w:val="0"/>
      <w:divBdr>
        <w:top w:val="none" w:sz="0" w:space="0" w:color="auto"/>
        <w:left w:val="none" w:sz="0" w:space="0" w:color="auto"/>
        <w:bottom w:val="none" w:sz="0" w:space="0" w:color="auto"/>
        <w:right w:val="none" w:sz="0" w:space="0" w:color="auto"/>
      </w:divBdr>
      <w:divsChild>
        <w:div w:id="2099936352">
          <w:marLeft w:val="0"/>
          <w:marRight w:val="0"/>
          <w:marTop w:val="0"/>
          <w:marBottom w:val="0"/>
          <w:divBdr>
            <w:top w:val="none" w:sz="0" w:space="0" w:color="auto"/>
            <w:left w:val="none" w:sz="0" w:space="0" w:color="auto"/>
            <w:bottom w:val="none" w:sz="0" w:space="0" w:color="auto"/>
            <w:right w:val="none" w:sz="0" w:space="0" w:color="auto"/>
          </w:divBdr>
        </w:div>
        <w:div w:id="380595884">
          <w:marLeft w:val="0"/>
          <w:marRight w:val="0"/>
          <w:marTop w:val="0"/>
          <w:marBottom w:val="0"/>
          <w:divBdr>
            <w:top w:val="none" w:sz="0" w:space="0" w:color="auto"/>
            <w:left w:val="none" w:sz="0" w:space="0" w:color="auto"/>
            <w:bottom w:val="none" w:sz="0" w:space="0" w:color="auto"/>
            <w:right w:val="none" w:sz="0" w:space="0" w:color="auto"/>
          </w:divBdr>
        </w:div>
        <w:div w:id="1629817641">
          <w:marLeft w:val="0"/>
          <w:marRight w:val="0"/>
          <w:marTop w:val="0"/>
          <w:marBottom w:val="0"/>
          <w:divBdr>
            <w:top w:val="none" w:sz="0" w:space="0" w:color="auto"/>
            <w:left w:val="none" w:sz="0" w:space="0" w:color="auto"/>
            <w:bottom w:val="none" w:sz="0" w:space="0" w:color="auto"/>
            <w:right w:val="none" w:sz="0" w:space="0" w:color="auto"/>
          </w:divBdr>
        </w:div>
      </w:divsChild>
    </w:div>
    <w:div w:id="1645695909">
      <w:bodyDiv w:val="1"/>
      <w:marLeft w:val="0"/>
      <w:marRight w:val="0"/>
      <w:marTop w:val="0"/>
      <w:marBottom w:val="0"/>
      <w:divBdr>
        <w:top w:val="none" w:sz="0" w:space="0" w:color="auto"/>
        <w:left w:val="none" w:sz="0" w:space="0" w:color="auto"/>
        <w:bottom w:val="none" w:sz="0" w:space="0" w:color="auto"/>
        <w:right w:val="none" w:sz="0" w:space="0" w:color="auto"/>
      </w:divBdr>
      <w:divsChild>
        <w:div w:id="1051612617">
          <w:marLeft w:val="0"/>
          <w:marRight w:val="0"/>
          <w:marTop w:val="0"/>
          <w:marBottom w:val="0"/>
          <w:divBdr>
            <w:top w:val="none" w:sz="0" w:space="0" w:color="auto"/>
            <w:left w:val="none" w:sz="0" w:space="0" w:color="auto"/>
            <w:bottom w:val="none" w:sz="0" w:space="0" w:color="auto"/>
            <w:right w:val="none" w:sz="0" w:space="0" w:color="auto"/>
          </w:divBdr>
        </w:div>
        <w:div w:id="287512514">
          <w:marLeft w:val="0"/>
          <w:marRight w:val="0"/>
          <w:marTop w:val="0"/>
          <w:marBottom w:val="0"/>
          <w:divBdr>
            <w:top w:val="none" w:sz="0" w:space="0" w:color="auto"/>
            <w:left w:val="none" w:sz="0" w:space="0" w:color="auto"/>
            <w:bottom w:val="none" w:sz="0" w:space="0" w:color="auto"/>
            <w:right w:val="none" w:sz="0" w:space="0" w:color="auto"/>
          </w:divBdr>
        </w:div>
        <w:div w:id="178089193">
          <w:marLeft w:val="0"/>
          <w:marRight w:val="0"/>
          <w:marTop w:val="0"/>
          <w:marBottom w:val="0"/>
          <w:divBdr>
            <w:top w:val="none" w:sz="0" w:space="0" w:color="auto"/>
            <w:left w:val="none" w:sz="0" w:space="0" w:color="auto"/>
            <w:bottom w:val="none" w:sz="0" w:space="0" w:color="auto"/>
            <w:right w:val="none" w:sz="0" w:space="0" w:color="auto"/>
          </w:divBdr>
        </w:div>
      </w:divsChild>
    </w:div>
    <w:div w:id="19770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2992</Words>
  <Characters>1706</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3</cp:revision>
  <dcterms:created xsi:type="dcterms:W3CDTF">2025-10-17T13:16:00Z</dcterms:created>
  <dcterms:modified xsi:type="dcterms:W3CDTF">2025-10-17T13:17:00Z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2025-07-03T08:03:29Z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ebf691c7-f7da-42b0-9dee-d9b3d20b357f</vt:lpwstr>
  </property>
  <property fmtid="{D5CDD505-2E9C-101B-9397-08002B2CF9AE}" pid="8" name="MSIP_Label_fa72d981-70d3-422f-84c9-c3f8ec269a2c_ContentBits">
    <vt:lpwstr>0</vt:lpwstr>
  </property>
</Properties>
</file>