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DCBB0" w14:textId="6AF439FA" w:rsidR="00331BD2" w:rsidRDefault="00B21362">
      <w:pPr>
        <w:widowControl w:val="0"/>
        <w:jc w:val="right"/>
        <w:rPr>
          <w:rFonts w:ascii="Calibri" w:eastAsia="Calibri" w:hAnsi="Calibri" w:cs="Calibri"/>
          <w:sz w:val="22"/>
          <w:szCs w:val="22"/>
        </w:rPr>
      </w:pPr>
      <w:r>
        <w:rPr>
          <w:rFonts w:ascii="Calibri" w:eastAsia="Calibri" w:hAnsi="Calibri" w:cs="Calibri"/>
          <w:sz w:val="22"/>
          <w:szCs w:val="22"/>
        </w:rPr>
        <w:t xml:space="preserve">Vilnius, 2025 m. spalio </w:t>
      </w:r>
      <w:r w:rsidR="00372633">
        <w:rPr>
          <w:rFonts w:ascii="Calibri" w:eastAsia="Calibri" w:hAnsi="Calibri" w:cs="Calibri"/>
          <w:sz w:val="22"/>
          <w:szCs w:val="22"/>
          <w:lang w:val="en-US"/>
        </w:rPr>
        <w:t>23</w:t>
      </w:r>
      <w:r>
        <w:rPr>
          <w:rFonts w:ascii="Calibri" w:eastAsia="Calibri" w:hAnsi="Calibri" w:cs="Calibri"/>
          <w:sz w:val="22"/>
          <w:szCs w:val="22"/>
        </w:rPr>
        <w:t xml:space="preserve"> d.</w:t>
      </w:r>
    </w:p>
    <w:p w14:paraId="23E65DD3" w14:textId="4313245D" w:rsidR="002A2E53" w:rsidRDefault="002A2E53" w:rsidP="002A1B6E">
      <w:pPr>
        <w:rPr>
          <w:rFonts w:ascii="Calibri" w:hAnsi="Calibri" w:cs="Calibri"/>
          <w:b/>
          <w:bCs/>
          <w:color w:val="1F497D" w:themeColor="text2"/>
          <w:sz w:val="36"/>
          <w:szCs w:val="36"/>
          <w:lang w:val="lt-LT"/>
        </w:rPr>
      </w:pPr>
    </w:p>
    <w:p w14:paraId="174F20D2" w14:textId="6C22227C" w:rsidR="002A1B6E" w:rsidRPr="002A2E53" w:rsidRDefault="002A1B6E" w:rsidP="002A2E53">
      <w:pPr>
        <w:jc w:val="center"/>
        <w:rPr>
          <w:rFonts w:ascii="Calibri" w:hAnsi="Calibri" w:cs="Calibri"/>
          <w:b/>
          <w:bCs/>
          <w:color w:val="1F497D" w:themeColor="text2"/>
          <w:sz w:val="36"/>
          <w:szCs w:val="36"/>
          <w:lang w:val="lt-LT"/>
        </w:rPr>
      </w:pPr>
      <w:r w:rsidRPr="002A1B6E">
        <w:rPr>
          <w:rFonts w:ascii="Calibri" w:hAnsi="Calibri" w:cs="Calibri"/>
          <w:b/>
          <w:bCs/>
          <w:color w:val="1F497D" w:themeColor="text2"/>
          <w:sz w:val="36"/>
          <w:szCs w:val="36"/>
          <w:lang w:val="lt-LT"/>
        </w:rPr>
        <w:t xml:space="preserve">Pratęsta partnerystė: „Lidl“ iki 2030 metų rems UEFA moterų </w:t>
      </w:r>
      <w:r>
        <w:rPr>
          <w:rFonts w:ascii="Calibri" w:hAnsi="Calibri" w:cs="Calibri"/>
          <w:b/>
          <w:bCs/>
          <w:color w:val="1F497D" w:themeColor="text2"/>
          <w:sz w:val="36"/>
          <w:szCs w:val="36"/>
          <w:lang w:val="lt-LT"/>
        </w:rPr>
        <w:t>futbolo</w:t>
      </w:r>
      <w:r w:rsidRPr="002A1B6E">
        <w:rPr>
          <w:rFonts w:ascii="Calibri" w:hAnsi="Calibri" w:cs="Calibri"/>
          <w:b/>
          <w:bCs/>
          <w:color w:val="1F497D" w:themeColor="text2"/>
          <w:sz w:val="36"/>
          <w:szCs w:val="36"/>
          <w:lang w:val="lt-LT"/>
        </w:rPr>
        <w:t xml:space="preserve"> turnyrus</w:t>
      </w:r>
    </w:p>
    <w:p w14:paraId="57AA2BCC" w14:textId="77777777" w:rsidR="002A2E53" w:rsidRPr="002A2E53" w:rsidRDefault="002A2E53" w:rsidP="002A2E53">
      <w:pPr>
        <w:jc w:val="both"/>
        <w:rPr>
          <w:rFonts w:ascii="Calibri" w:hAnsi="Calibri" w:cs="Calibri"/>
          <w:b/>
          <w:bCs/>
          <w:sz w:val="22"/>
          <w:szCs w:val="22"/>
          <w:lang w:val="lt-LT"/>
        </w:rPr>
      </w:pPr>
    </w:p>
    <w:p w14:paraId="365F25E3" w14:textId="77777777" w:rsidR="002A2E53" w:rsidRDefault="002A2E53" w:rsidP="002A2E53">
      <w:pPr>
        <w:jc w:val="both"/>
        <w:rPr>
          <w:rFonts w:ascii="Calibri" w:hAnsi="Calibri" w:cs="Calibri"/>
          <w:b/>
          <w:bCs/>
          <w:sz w:val="22"/>
          <w:szCs w:val="22"/>
          <w:lang w:val="lt-LT"/>
        </w:rPr>
      </w:pPr>
      <w:r w:rsidRPr="002A2E53">
        <w:rPr>
          <w:rFonts w:ascii="Calibri" w:hAnsi="Calibri" w:cs="Calibri"/>
          <w:b/>
          <w:bCs/>
          <w:sz w:val="22"/>
          <w:szCs w:val="22"/>
          <w:lang w:val="lt-LT"/>
        </w:rPr>
        <w:t>Prekybos tinklas „Lidl“ tęsia partnerystę su Europos futbolo asociacijų sąjunga (UEFA) ir iki 2030 metų rems jos organizuojamus moterų futbolo turnyrus, Europos atrankos varžybas ir UEFA Tautų lygos varžybas. UEFA moterų turnyro „EURO 2025“ metu „Lidl“ pasiekė šimtus milijonų futbolo gerbėjų visame pasaulyje. Tokiu būdu „Lidl“ nori prisidėti kuriant aktyvesnę, sveikesnę visuomenę, skatinti geresnę mitybą ir parodyti, kad judėti gali kiekvienas.</w:t>
      </w:r>
    </w:p>
    <w:p w14:paraId="2C06CEAF" w14:textId="77777777" w:rsidR="00CA5CFE" w:rsidRDefault="00CA5CFE" w:rsidP="002A2E53">
      <w:pPr>
        <w:jc w:val="both"/>
        <w:rPr>
          <w:rFonts w:ascii="Calibri" w:hAnsi="Calibri" w:cs="Calibri"/>
          <w:b/>
          <w:bCs/>
          <w:sz w:val="22"/>
          <w:szCs w:val="22"/>
          <w:lang w:val="lt-LT"/>
        </w:rPr>
      </w:pPr>
    </w:p>
    <w:p w14:paraId="0DB9A2C1" w14:textId="1486900F" w:rsidR="00CA5CFE" w:rsidRPr="00CA5CFE" w:rsidRDefault="00CA5CFE" w:rsidP="002A2E53">
      <w:pPr>
        <w:jc w:val="both"/>
        <w:rPr>
          <w:rFonts w:ascii="Calibri" w:hAnsi="Calibri" w:cs="Calibri"/>
          <w:sz w:val="22"/>
          <w:szCs w:val="22"/>
        </w:rPr>
      </w:pPr>
      <w:r w:rsidRPr="00CA5CFE">
        <w:rPr>
          <w:rFonts w:ascii="Calibri" w:hAnsi="Calibri" w:cs="Calibri"/>
          <w:sz w:val="22"/>
          <w:szCs w:val="22"/>
        </w:rPr>
        <w:t>Nuo šiol „Lidl“ tampa ir UEFA moterų „EURO 2029“</w:t>
      </w:r>
      <w:r>
        <w:rPr>
          <w:rFonts w:ascii="Calibri" w:hAnsi="Calibri" w:cs="Calibri"/>
          <w:sz w:val="22"/>
          <w:szCs w:val="22"/>
        </w:rPr>
        <w:t xml:space="preserve"> turnyro</w:t>
      </w:r>
      <w:r w:rsidRPr="00CA5CFE">
        <w:rPr>
          <w:rFonts w:ascii="Calibri" w:hAnsi="Calibri" w:cs="Calibri"/>
          <w:sz w:val="22"/>
          <w:szCs w:val="22"/>
        </w:rPr>
        <w:t xml:space="preserve">, 2028–29 metų Moterų Europos atrankos varžybų ir UEFA moterų Tautų lygos 2025, </w:t>
      </w:r>
      <w:r w:rsidRPr="00CA5CFE">
        <w:rPr>
          <w:rFonts w:ascii="Calibri" w:hAnsi="Calibri" w:cs="Calibri"/>
          <w:sz w:val="22"/>
          <w:szCs w:val="22"/>
          <w:lang w:val="lt-LT"/>
        </w:rPr>
        <w:t>20</w:t>
      </w:r>
      <w:r w:rsidRPr="00CA5CFE">
        <w:rPr>
          <w:rFonts w:ascii="Calibri" w:hAnsi="Calibri" w:cs="Calibri"/>
          <w:sz w:val="22"/>
          <w:szCs w:val="22"/>
        </w:rPr>
        <w:t xml:space="preserve">27 ir 2029 metų partneriu. </w:t>
      </w:r>
    </w:p>
    <w:p w14:paraId="6264DBAC" w14:textId="77777777" w:rsidR="00372633" w:rsidRPr="00372633" w:rsidRDefault="00372633" w:rsidP="00372633">
      <w:pPr>
        <w:jc w:val="both"/>
        <w:rPr>
          <w:rFonts w:ascii="Calibri" w:hAnsi="Calibri" w:cs="Calibri"/>
          <w:b/>
          <w:bCs/>
          <w:sz w:val="22"/>
          <w:szCs w:val="22"/>
        </w:rPr>
      </w:pPr>
    </w:p>
    <w:p w14:paraId="08BE4782" w14:textId="788EC1A7" w:rsidR="00372633" w:rsidRDefault="00372633" w:rsidP="00372633">
      <w:pPr>
        <w:jc w:val="both"/>
        <w:rPr>
          <w:rFonts w:ascii="Calibri" w:hAnsi="Calibri" w:cs="Calibri"/>
          <w:sz w:val="22"/>
          <w:szCs w:val="22"/>
        </w:rPr>
      </w:pPr>
      <w:r w:rsidRPr="00372633">
        <w:rPr>
          <w:rFonts w:ascii="Calibri" w:hAnsi="Calibri" w:cs="Calibri"/>
          <w:sz w:val="22"/>
          <w:szCs w:val="22"/>
        </w:rPr>
        <w:t xml:space="preserve">„Lygybė mums – ne tik deklaruojama vertybė, bet ir kasdienis pasirinkimas. Tikime, kad įvairovė stiprina komandą, skatina naujas idėjas ir leidžia kiekvienam atskleisti savo potencialą. Moterų vaidmuo mums svarbus tiek įmonės viduje, užtikrinant lygias galimybes, tiek visuomenėje, todėl aktyviai palaikome iniciatyvas, kurios įkvepia jas drąsiai siekti savo tikslų. Po sėkmingos partnerystės su 2025 metų UEFA Europos moterų </w:t>
      </w:r>
      <w:r w:rsidR="00FA57B6">
        <w:rPr>
          <w:rFonts w:ascii="Calibri" w:hAnsi="Calibri" w:cs="Calibri"/>
          <w:sz w:val="22"/>
          <w:szCs w:val="22"/>
        </w:rPr>
        <w:t>turnyr</w:t>
      </w:r>
      <w:r w:rsidR="00B21362">
        <w:rPr>
          <w:rFonts w:ascii="Calibri" w:hAnsi="Calibri" w:cs="Calibri"/>
          <w:sz w:val="22"/>
          <w:szCs w:val="22"/>
        </w:rPr>
        <w:t>u</w:t>
      </w:r>
      <w:r w:rsidRPr="00372633">
        <w:rPr>
          <w:rFonts w:ascii="Calibri" w:hAnsi="Calibri" w:cs="Calibri"/>
          <w:sz w:val="22"/>
          <w:szCs w:val="22"/>
        </w:rPr>
        <w:t>, natūraliai žengiame kitą žingsnį“, – sako „Lidl Lietuva“ korporatyvinių reikalų ir komunikacijos vadovas Antanas Bubnelis.</w:t>
      </w:r>
    </w:p>
    <w:p w14:paraId="01BAB452" w14:textId="77777777" w:rsidR="004F4D1E" w:rsidRDefault="004F4D1E" w:rsidP="00372633">
      <w:pPr>
        <w:jc w:val="both"/>
        <w:rPr>
          <w:rFonts w:ascii="Calibri" w:hAnsi="Calibri" w:cs="Calibri"/>
          <w:sz w:val="22"/>
          <w:szCs w:val="22"/>
        </w:rPr>
      </w:pPr>
    </w:p>
    <w:p w14:paraId="24DE5A47" w14:textId="68998AA0" w:rsidR="004F4D1E" w:rsidRDefault="00ED4042" w:rsidP="00372633">
      <w:pPr>
        <w:jc w:val="both"/>
        <w:rPr>
          <w:rFonts w:ascii="Calibri" w:hAnsi="Calibri" w:cs="Calibri"/>
          <w:sz w:val="22"/>
          <w:szCs w:val="22"/>
        </w:rPr>
      </w:pPr>
      <w:r>
        <w:rPr>
          <w:rFonts w:ascii="Calibri" w:hAnsi="Calibri" w:cs="Calibri"/>
          <w:sz w:val="22"/>
          <w:szCs w:val="22"/>
        </w:rPr>
        <w:t>Ši p</w:t>
      </w:r>
      <w:r w:rsidR="004F4D1E" w:rsidRPr="004F4D1E">
        <w:rPr>
          <w:rFonts w:ascii="Calibri" w:hAnsi="Calibri" w:cs="Calibri"/>
          <w:sz w:val="22"/>
          <w:szCs w:val="22"/>
        </w:rPr>
        <w:t>artnerystė užtikrina, kad ir į UEFA grįš „Lidl“ vaikų komandos</w:t>
      </w:r>
      <w:r>
        <w:rPr>
          <w:rFonts w:ascii="Calibri" w:hAnsi="Calibri" w:cs="Calibri"/>
          <w:sz w:val="22"/>
          <w:szCs w:val="22"/>
        </w:rPr>
        <w:t xml:space="preserve">. </w:t>
      </w:r>
      <w:r w:rsidRPr="00ED4042">
        <w:rPr>
          <w:rFonts w:ascii="Calibri" w:hAnsi="Calibri" w:cs="Calibri"/>
          <w:sz w:val="22"/>
          <w:szCs w:val="22"/>
        </w:rPr>
        <w:t xml:space="preserve">Tai ypatinga proga vaikams </w:t>
      </w:r>
      <w:r w:rsidRPr="00372633">
        <w:rPr>
          <w:rFonts w:ascii="Calibri" w:hAnsi="Calibri" w:cs="Calibri"/>
          <w:sz w:val="22"/>
          <w:szCs w:val="22"/>
        </w:rPr>
        <w:t>žengti į stadioną kartu su futbolo žvaigždėmis ir įkvėpti naują sportininkų bei gerbėjų kartą.</w:t>
      </w:r>
    </w:p>
    <w:p w14:paraId="501970D0" w14:textId="77777777" w:rsidR="00372633" w:rsidRPr="00372633" w:rsidRDefault="00372633" w:rsidP="00372633">
      <w:pPr>
        <w:jc w:val="both"/>
        <w:rPr>
          <w:rFonts w:ascii="Calibri" w:hAnsi="Calibri" w:cs="Calibri"/>
          <w:color w:val="FF0000"/>
          <w:sz w:val="22"/>
          <w:szCs w:val="22"/>
        </w:rPr>
      </w:pPr>
    </w:p>
    <w:p w14:paraId="79820A48" w14:textId="0ECF05E7" w:rsidR="00FA57B6" w:rsidRPr="00FA57B6" w:rsidRDefault="00FA57B6" w:rsidP="00372633">
      <w:pPr>
        <w:jc w:val="both"/>
        <w:rPr>
          <w:rFonts w:ascii="Calibri" w:hAnsi="Calibri" w:cs="Calibri"/>
          <w:b/>
          <w:bCs/>
          <w:sz w:val="22"/>
          <w:szCs w:val="22"/>
          <w:lang w:val="lt-LT"/>
        </w:rPr>
      </w:pPr>
      <w:r>
        <w:rPr>
          <w:rFonts w:ascii="Calibri" w:hAnsi="Calibri" w:cs="Calibri"/>
          <w:b/>
          <w:bCs/>
          <w:sz w:val="22"/>
          <w:szCs w:val="22"/>
        </w:rPr>
        <w:t>Iniciatyvos, kurian</w:t>
      </w:r>
      <w:r>
        <w:rPr>
          <w:rFonts w:ascii="Calibri" w:hAnsi="Calibri" w:cs="Calibri"/>
          <w:b/>
          <w:bCs/>
          <w:sz w:val="22"/>
          <w:szCs w:val="22"/>
          <w:lang w:val="lt-LT"/>
        </w:rPr>
        <w:t>čios partnerystę</w:t>
      </w:r>
    </w:p>
    <w:p w14:paraId="66DD25D6" w14:textId="77777777" w:rsidR="002A2E53" w:rsidRDefault="002A2E53" w:rsidP="00372633">
      <w:pPr>
        <w:jc w:val="both"/>
        <w:rPr>
          <w:rFonts w:ascii="Calibri" w:hAnsi="Calibri" w:cs="Calibri"/>
          <w:sz w:val="22"/>
          <w:szCs w:val="22"/>
        </w:rPr>
      </w:pPr>
    </w:p>
    <w:p w14:paraId="4D2ED96A" w14:textId="31E20D23" w:rsidR="002A2E53" w:rsidRDefault="002A2E53" w:rsidP="00372633">
      <w:pPr>
        <w:jc w:val="both"/>
        <w:rPr>
          <w:rFonts w:ascii="Calibri" w:hAnsi="Calibri" w:cs="Calibri"/>
          <w:sz w:val="22"/>
          <w:szCs w:val="22"/>
        </w:rPr>
      </w:pPr>
      <w:r w:rsidRPr="002A2E53">
        <w:rPr>
          <w:rFonts w:ascii="Calibri" w:hAnsi="Calibri" w:cs="Calibri"/>
          <w:sz w:val="22"/>
          <w:szCs w:val="22"/>
        </w:rPr>
        <w:t>„Lidl“ ir UEFA partnerystė per pastaruosius dvejus metus buvo kuriama įvairiomis iniciatyvomis, siekiant įkvėpti žmones sveikiau gyventi.</w:t>
      </w:r>
    </w:p>
    <w:p w14:paraId="541E99C0" w14:textId="77777777" w:rsidR="00FA57B6" w:rsidRDefault="00FA57B6" w:rsidP="00372633">
      <w:pPr>
        <w:jc w:val="both"/>
        <w:rPr>
          <w:rFonts w:ascii="Calibri" w:hAnsi="Calibri" w:cs="Calibri"/>
          <w:sz w:val="22"/>
          <w:szCs w:val="22"/>
        </w:rPr>
      </w:pPr>
    </w:p>
    <w:p w14:paraId="5BF8B437" w14:textId="40FA57E7" w:rsidR="004F4D1E" w:rsidRDefault="00372633" w:rsidP="00372633">
      <w:pPr>
        <w:jc w:val="both"/>
        <w:rPr>
          <w:rFonts w:ascii="Calibri" w:hAnsi="Calibri" w:cs="Calibri"/>
          <w:sz w:val="22"/>
          <w:szCs w:val="22"/>
        </w:rPr>
      </w:pPr>
      <w:r w:rsidRPr="00372633">
        <w:rPr>
          <w:rFonts w:ascii="Calibri" w:hAnsi="Calibri" w:cs="Calibri"/>
          <w:sz w:val="22"/>
          <w:szCs w:val="22"/>
        </w:rPr>
        <w:t xml:space="preserve">UEFA moterų „EURO 2025“ turnyre „Lidl“  buvo matomas visuose aštuoniuose miestuose, kuriuose vyko čempionato rungtynės. Turnyras </w:t>
      </w:r>
      <w:r w:rsidR="00FA57B6">
        <w:rPr>
          <w:rFonts w:ascii="Calibri" w:hAnsi="Calibri" w:cs="Calibri"/>
          <w:sz w:val="22"/>
          <w:szCs w:val="22"/>
        </w:rPr>
        <w:t xml:space="preserve">į stadionus </w:t>
      </w:r>
      <w:r w:rsidRPr="00372633">
        <w:rPr>
          <w:rFonts w:ascii="Calibri" w:hAnsi="Calibri" w:cs="Calibri"/>
          <w:sz w:val="22"/>
          <w:szCs w:val="22"/>
        </w:rPr>
        <w:t xml:space="preserve">pritraukė daugiau nei </w:t>
      </w:r>
      <w:r w:rsidR="002A2E53">
        <w:rPr>
          <w:rFonts w:ascii="Calibri" w:hAnsi="Calibri" w:cs="Calibri"/>
          <w:sz w:val="22"/>
          <w:szCs w:val="22"/>
        </w:rPr>
        <w:t>pusė milijono</w:t>
      </w:r>
      <w:r w:rsidRPr="00372633">
        <w:rPr>
          <w:rFonts w:ascii="Calibri" w:hAnsi="Calibri" w:cs="Calibri"/>
          <w:sz w:val="22"/>
          <w:szCs w:val="22"/>
        </w:rPr>
        <w:t xml:space="preserve"> gerbėjų ir pasiekė daugiau nei 400 milijonų žiūrovų visame pasaulyje.</w:t>
      </w:r>
      <w:r w:rsidR="004C14CA">
        <w:rPr>
          <w:rFonts w:ascii="Calibri" w:hAnsi="Calibri" w:cs="Calibri"/>
          <w:sz w:val="22"/>
          <w:szCs w:val="22"/>
        </w:rPr>
        <w:t xml:space="preserve"> </w:t>
      </w:r>
      <w:r w:rsidR="004F4D1E" w:rsidRPr="004F4D1E">
        <w:rPr>
          <w:rFonts w:ascii="Calibri" w:hAnsi="Calibri" w:cs="Calibri"/>
          <w:sz w:val="22"/>
          <w:szCs w:val="22"/>
        </w:rPr>
        <w:t xml:space="preserve">Skatindamas sveiką gyvenseną, „Lidl“ </w:t>
      </w:r>
      <w:r w:rsidR="004F4D1E">
        <w:rPr>
          <w:rFonts w:ascii="Calibri" w:hAnsi="Calibri" w:cs="Calibri"/>
          <w:sz w:val="22"/>
          <w:szCs w:val="22"/>
        </w:rPr>
        <w:t xml:space="preserve">sirgaliams </w:t>
      </w:r>
      <w:r w:rsidR="004F4D1E" w:rsidRPr="004F4D1E">
        <w:rPr>
          <w:rFonts w:ascii="Calibri" w:hAnsi="Calibri" w:cs="Calibri"/>
          <w:sz w:val="22"/>
          <w:szCs w:val="22"/>
        </w:rPr>
        <w:t>išdalino beveik 270 000 vaisių indelių.</w:t>
      </w:r>
      <w:r w:rsidR="004F4D1E">
        <w:rPr>
          <w:rFonts w:ascii="Calibri" w:hAnsi="Calibri" w:cs="Calibri"/>
          <w:sz w:val="22"/>
          <w:szCs w:val="22"/>
        </w:rPr>
        <w:t xml:space="preserve"> </w:t>
      </w:r>
    </w:p>
    <w:p w14:paraId="609EA3AF" w14:textId="77777777" w:rsidR="004C14CA" w:rsidRDefault="004C14CA" w:rsidP="00372633">
      <w:pPr>
        <w:jc w:val="both"/>
        <w:rPr>
          <w:rFonts w:ascii="Calibri" w:hAnsi="Calibri" w:cs="Calibri"/>
          <w:sz w:val="22"/>
          <w:szCs w:val="22"/>
        </w:rPr>
      </w:pPr>
    </w:p>
    <w:p w14:paraId="6D4418CD" w14:textId="438BC7E6" w:rsidR="004F4D1E" w:rsidRDefault="004F4D1E" w:rsidP="00372633">
      <w:pPr>
        <w:jc w:val="both"/>
        <w:rPr>
          <w:rFonts w:ascii="Calibri" w:hAnsi="Calibri" w:cs="Calibri"/>
          <w:sz w:val="22"/>
          <w:szCs w:val="22"/>
        </w:rPr>
      </w:pPr>
      <w:r w:rsidRPr="004F4D1E">
        <w:rPr>
          <w:rFonts w:ascii="Calibri" w:hAnsi="Calibri" w:cs="Calibri"/>
          <w:sz w:val="22"/>
          <w:szCs w:val="22"/>
        </w:rPr>
        <w:t>UEFA moterų „EURO 2025“</w:t>
      </w:r>
      <w:r w:rsidR="00FA57B6">
        <w:rPr>
          <w:rFonts w:ascii="Calibri" w:hAnsi="Calibri" w:cs="Calibri"/>
          <w:sz w:val="22"/>
          <w:szCs w:val="22"/>
        </w:rPr>
        <w:t xml:space="preserve"> </w:t>
      </w:r>
      <w:r>
        <w:rPr>
          <w:rFonts w:ascii="Calibri" w:hAnsi="Calibri" w:cs="Calibri"/>
          <w:sz w:val="22"/>
          <w:szCs w:val="22"/>
        </w:rPr>
        <w:t>turnyro metu</w:t>
      </w:r>
      <w:r w:rsidRPr="004F4D1E">
        <w:rPr>
          <w:rFonts w:ascii="Calibri" w:hAnsi="Calibri" w:cs="Calibri"/>
          <w:sz w:val="22"/>
          <w:szCs w:val="22"/>
        </w:rPr>
        <w:t xml:space="preserve"> „Lidl“ norėjo įkvėpti mergaites ir jaunas moteris. Todėl Bazelyje surengė tarptautinę stovyklą, į kurią suvažiavo 100 merginų (14–17 m.) iš 18 šalių. Stovykloje vyko profesionalios treniruotės, mitybos pamokos ir buvo skatinamos draugystės.</w:t>
      </w:r>
    </w:p>
    <w:p w14:paraId="6A6CBB95" w14:textId="77777777" w:rsidR="00372633" w:rsidRPr="00372633" w:rsidRDefault="00372633" w:rsidP="00372633">
      <w:pPr>
        <w:jc w:val="both"/>
        <w:rPr>
          <w:rFonts w:ascii="Calibri" w:hAnsi="Calibri" w:cs="Calibri"/>
          <w:sz w:val="22"/>
          <w:szCs w:val="22"/>
        </w:rPr>
      </w:pPr>
    </w:p>
    <w:p w14:paraId="75810668" w14:textId="77777777" w:rsidR="00372633" w:rsidRDefault="00372633" w:rsidP="00372633">
      <w:pPr>
        <w:jc w:val="both"/>
        <w:rPr>
          <w:rFonts w:ascii="Calibri" w:hAnsi="Calibri" w:cs="Calibri"/>
          <w:b/>
          <w:bCs/>
          <w:sz w:val="22"/>
          <w:szCs w:val="22"/>
        </w:rPr>
      </w:pPr>
      <w:r w:rsidRPr="00372633">
        <w:rPr>
          <w:rFonts w:ascii="Calibri" w:hAnsi="Calibri" w:cs="Calibri"/>
          <w:b/>
          <w:bCs/>
          <w:sz w:val="22"/>
          <w:szCs w:val="22"/>
        </w:rPr>
        <w:t>Lygybės sporte kūrimas</w:t>
      </w:r>
    </w:p>
    <w:p w14:paraId="0BE11314" w14:textId="77777777" w:rsidR="00372633" w:rsidRPr="00372633" w:rsidRDefault="00372633" w:rsidP="00372633">
      <w:pPr>
        <w:jc w:val="both"/>
        <w:rPr>
          <w:rFonts w:ascii="Calibri" w:hAnsi="Calibri" w:cs="Calibri"/>
          <w:b/>
          <w:bCs/>
          <w:sz w:val="22"/>
          <w:szCs w:val="22"/>
        </w:rPr>
      </w:pPr>
    </w:p>
    <w:p w14:paraId="71DFB54B" w14:textId="77777777" w:rsidR="00372633" w:rsidRDefault="00372633" w:rsidP="00372633">
      <w:pPr>
        <w:jc w:val="both"/>
        <w:rPr>
          <w:rFonts w:ascii="Calibri" w:hAnsi="Calibri" w:cs="Calibri"/>
          <w:sz w:val="22"/>
          <w:szCs w:val="22"/>
        </w:rPr>
      </w:pPr>
      <w:r w:rsidRPr="00372633">
        <w:rPr>
          <w:rFonts w:ascii="Calibri" w:hAnsi="Calibri" w:cs="Calibri"/>
          <w:sz w:val="22"/>
          <w:szCs w:val="22"/>
        </w:rPr>
        <w:t xml:space="preserve">„Matome, kad futbolas yra mylimas ir mėgstamas sportas mūsų šalyje taip pat. Lietuviai aktyviai seka rungtynes bei naujienas, domisi rezultatais, todėl džiaugiamės galėdami prisidėti prie šios partnerystės ir Lietuvoje taip pat būti jos dalimi“, – sako „Lidl Lietuva“ korporatyvinių reikalų ir komunikacijos vadovas. </w:t>
      </w:r>
    </w:p>
    <w:p w14:paraId="2CB7B7B5" w14:textId="77777777" w:rsidR="00372633" w:rsidRDefault="00372633" w:rsidP="00372633">
      <w:pPr>
        <w:jc w:val="both"/>
        <w:rPr>
          <w:rFonts w:ascii="Calibri" w:hAnsi="Calibri" w:cs="Calibri"/>
          <w:sz w:val="22"/>
          <w:szCs w:val="22"/>
        </w:rPr>
      </w:pPr>
    </w:p>
    <w:p w14:paraId="4912E087" w14:textId="64482D12" w:rsidR="004F4D1E" w:rsidRDefault="004F4D1E" w:rsidP="00372633">
      <w:pPr>
        <w:jc w:val="both"/>
        <w:rPr>
          <w:rFonts w:ascii="Calibri" w:hAnsi="Calibri" w:cs="Calibri"/>
          <w:sz w:val="22"/>
          <w:szCs w:val="22"/>
        </w:rPr>
      </w:pPr>
      <w:r w:rsidRPr="004F4D1E">
        <w:rPr>
          <w:rFonts w:ascii="Calibri" w:hAnsi="Calibri" w:cs="Calibri"/>
          <w:sz w:val="22"/>
          <w:szCs w:val="22"/>
        </w:rPr>
        <w:t>Šia partneryste „Lidl“ siekia užtikrinti, kad moterų futbolas sulauktų tokio pat palaikymo, matomumo ir gerbėjų įsitraukimo kaip ir vyrų turnyrai. Taip „Lidl“ padeda moterų sportui augti ir tapti labiau žinomam visame pasaulyje.</w:t>
      </w:r>
    </w:p>
    <w:p w14:paraId="090C8C47" w14:textId="77777777" w:rsidR="004F4D1E" w:rsidRPr="00372633" w:rsidRDefault="004F4D1E" w:rsidP="00372633">
      <w:pPr>
        <w:jc w:val="both"/>
        <w:rPr>
          <w:rFonts w:ascii="Calibri" w:hAnsi="Calibri" w:cs="Calibri"/>
          <w:sz w:val="22"/>
          <w:szCs w:val="22"/>
        </w:rPr>
      </w:pPr>
    </w:p>
    <w:p w14:paraId="2954471C" w14:textId="77777777" w:rsidR="00372633" w:rsidRPr="00372633" w:rsidRDefault="00372633" w:rsidP="00372633">
      <w:pPr>
        <w:jc w:val="both"/>
        <w:rPr>
          <w:rFonts w:ascii="Calibri" w:hAnsi="Calibri" w:cs="Calibri"/>
          <w:sz w:val="22"/>
          <w:szCs w:val="22"/>
        </w:rPr>
      </w:pPr>
      <w:r w:rsidRPr="00372633">
        <w:rPr>
          <w:rFonts w:ascii="Calibri" w:hAnsi="Calibri" w:cs="Calibri"/>
          <w:sz w:val="22"/>
          <w:szCs w:val="22"/>
        </w:rPr>
        <w:t>Šiuo metu veikia 82 „Lidl“ parduotuvės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3C9E0971" w14:textId="77777777" w:rsidR="00331BD2" w:rsidRDefault="00331BD2">
      <w:pPr>
        <w:jc w:val="both"/>
        <w:rPr>
          <w:rFonts w:ascii="Calibri" w:eastAsia="Calibri" w:hAnsi="Calibri" w:cs="Calibri"/>
          <w:b/>
          <w:sz w:val="22"/>
          <w:szCs w:val="22"/>
        </w:rPr>
      </w:pPr>
    </w:p>
    <w:p w14:paraId="15DD18AF" w14:textId="77777777" w:rsidR="00331BD2" w:rsidRDefault="00B21362">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r>
      <w:r>
        <w:rPr>
          <w:rFonts w:ascii="Calibri" w:eastAsia="Calibri" w:hAnsi="Calibri" w:cs="Calibri"/>
          <w:sz w:val="18"/>
          <w:szCs w:val="18"/>
        </w:rP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sidR="00331BD2">
          <w:rPr>
            <w:rFonts w:ascii="Calibri" w:eastAsia="Calibri" w:hAnsi="Calibri" w:cs="Calibri"/>
            <w:color w:val="0000FF"/>
            <w:sz w:val="18"/>
            <w:szCs w:val="18"/>
            <w:u w:val="single"/>
          </w:rPr>
          <w:t>lina.skersyte@lidl.lt</w:t>
        </w:r>
      </w:hyperlink>
    </w:p>
    <w:p w14:paraId="5E08A2E0" w14:textId="77777777" w:rsidR="00331BD2" w:rsidRDefault="00331BD2">
      <w:pPr>
        <w:widowControl w:val="0"/>
        <w:jc w:val="center"/>
        <w:rPr>
          <w:rFonts w:ascii="Calibri" w:eastAsia="Calibri" w:hAnsi="Calibri" w:cs="Calibri"/>
          <w:color w:val="0000FF"/>
          <w:sz w:val="20"/>
          <w:szCs w:val="20"/>
          <w:u w:val="single"/>
        </w:rPr>
      </w:pPr>
    </w:p>
    <w:sectPr w:rsidR="00331BD2">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4CE8E" w14:textId="77777777" w:rsidR="00A45526" w:rsidRDefault="00A45526">
      <w:r>
        <w:separator/>
      </w:r>
    </w:p>
  </w:endnote>
  <w:endnote w:type="continuationSeparator" w:id="0">
    <w:p w14:paraId="71C59EF6" w14:textId="77777777" w:rsidR="00A45526" w:rsidRDefault="00A45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D2510" w14:textId="77777777" w:rsidR="00331BD2" w:rsidRDefault="00B21362">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376C76CD" wp14:editId="57165D5B">
              <wp:simplePos x="0" y="0"/>
              <wp:positionH relativeFrom="column">
                <wp:posOffset>-128567</wp:posOffset>
              </wp:positionH>
              <wp:positionV relativeFrom="paragraph">
                <wp:posOffset>-458767</wp:posOffset>
              </wp:positionV>
              <wp:extent cx="4349750" cy="730250"/>
              <wp:effectExtent l="0" t="0" r="0" b="0"/>
              <wp:wrapNone/>
              <wp:docPr id="78" name="Stačiakampis 78"/>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0EC8FBE" w14:textId="77777777" w:rsidR="00331BD2" w:rsidRDefault="00B21362">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376C76CD" id="Stačiakampis 78" o:spid="_x0000_s1026" style="position:absolute;margin-left:-10.1pt;margin-top:-36.1pt;width:342.5pt;height: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" filled="f" stroked="f">
              <v:textbox inset="2.53958mm,2.53958mm,2.53958mm,2.53958mm">
                <w:txbxContent>
                  <w:p w14:paraId="10EC8FBE" w14:textId="77777777" w:rsidR="00331BD2"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87F60" w14:textId="77777777" w:rsidR="00331BD2" w:rsidRDefault="00B21362">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20E0A9DD" wp14:editId="65E157A7">
              <wp:simplePos x="0" y="0"/>
              <wp:positionH relativeFrom="column">
                <wp:posOffset>-141267</wp:posOffset>
              </wp:positionH>
              <wp:positionV relativeFrom="paragraph">
                <wp:posOffset>-522267</wp:posOffset>
              </wp:positionV>
              <wp:extent cx="4349750" cy="730250"/>
              <wp:effectExtent l="0" t="0" r="0" b="0"/>
              <wp:wrapNone/>
              <wp:docPr id="79" name="Stačiakampis 79"/>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4F22E6D" w14:textId="77777777" w:rsidR="00331BD2" w:rsidRDefault="00B21362">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20E0A9DD" id="Stačiakampis 79" o:spid="_x0000_s1027" style="position:absolute;margin-left:-11.1pt;margin-top:-41.1pt;width:342.5pt;height:5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" filled="f" stroked="f">
              <v:textbox inset="2.53958mm,2.53958mm,2.53958mm,2.53958mm">
                <w:txbxContent>
                  <w:p w14:paraId="34F22E6D" w14:textId="77777777" w:rsidR="00331BD2"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5BB8B" w14:textId="77777777" w:rsidR="00A45526" w:rsidRDefault="00A45526">
      <w:r>
        <w:separator/>
      </w:r>
    </w:p>
  </w:footnote>
  <w:footnote w:type="continuationSeparator" w:id="0">
    <w:p w14:paraId="3BE7F4EB" w14:textId="77777777" w:rsidR="00A45526" w:rsidRDefault="00A45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481D0" w14:textId="77777777" w:rsidR="00331BD2" w:rsidRDefault="00B21362">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F14F1E8" w14:textId="77777777" w:rsidR="00331BD2" w:rsidRDefault="00331BD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8FA30" w14:textId="77777777" w:rsidR="00331BD2" w:rsidRDefault="00B21362">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369E5C1" wp14:editId="20A00F02">
          <wp:simplePos x="0" y="0"/>
          <wp:positionH relativeFrom="page">
            <wp:align>left</wp:align>
          </wp:positionH>
          <wp:positionV relativeFrom="page">
            <wp:posOffset>40640</wp:posOffset>
          </wp:positionV>
          <wp:extent cx="7559040" cy="10689336"/>
          <wp:effectExtent l="0" t="0" r="0" b="0"/>
          <wp:wrapNone/>
          <wp:docPr id="80"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C0BA5" w14:textId="77777777" w:rsidR="00331BD2" w:rsidRDefault="00B21362">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0083F75" wp14:editId="2777255A">
          <wp:simplePos x="0" y="0"/>
          <wp:positionH relativeFrom="page">
            <wp:posOffset>0</wp:posOffset>
          </wp:positionH>
          <wp:positionV relativeFrom="page">
            <wp:posOffset>3937</wp:posOffset>
          </wp:positionV>
          <wp:extent cx="7559040" cy="10689336"/>
          <wp:effectExtent l="0" t="0" r="0" b="0"/>
          <wp:wrapNone/>
          <wp:docPr id="81"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BD2"/>
    <w:rsid w:val="00097289"/>
    <w:rsid w:val="002A1B6E"/>
    <w:rsid w:val="002A2E53"/>
    <w:rsid w:val="00331BD2"/>
    <w:rsid w:val="00372633"/>
    <w:rsid w:val="004C14CA"/>
    <w:rsid w:val="004F4D1E"/>
    <w:rsid w:val="00517BDB"/>
    <w:rsid w:val="00653833"/>
    <w:rsid w:val="006D0CE8"/>
    <w:rsid w:val="009E24A7"/>
    <w:rsid w:val="00A45526"/>
    <w:rsid w:val="00AB0C63"/>
    <w:rsid w:val="00B21362"/>
    <w:rsid w:val="00B93A39"/>
    <w:rsid w:val="00CA5CFE"/>
    <w:rsid w:val="00DE179B"/>
    <w:rsid w:val="00E3246E"/>
    <w:rsid w:val="00ED4042"/>
    <w:rsid w:val="00ED7C1B"/>
    <w:rsid w:val="00FA57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161A6"/>
  <w15:docId w15:val="{2F96689C-121E-4381-8E19-193554936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table" w:customStyle="1" w:styleId="TableNormal3">
    <w:name w:val="TableNormal"/>
    <w:tblPr>
      <w:tblCellMar>
        <w:top w:w="100" w:type="dxa"/>
        <w:left w:w="100" w:type="dxa"/>
        <w:bottom w:w="100" w:type="dxa"/>
        <w:right w:w="100" w:type="dxa"/>
      </w:tblCellMar>
    </w:tblPr>
  </w:style>
  <w:style w:type="table" w:customStyle="1" w:styleId="TableNormal4">
    <w:name w:val="TableNormal"/>
    <w:tblPr>
      <w:tblCellMar>
        <w:top w:w="100" w:type="dxa"/>
        <w:left w:w="100" w:type="dxa"/>
        <w:bottom w:w="100" w:type="dxa"/>
        <w:right w:w="100" w:type="dxa"/>
      </w:tblCellMar>
    </w:tblPr>
  </w:style>
  <w:style w:type="table" w:customStyle="1" w:styleId="TableNormal5">
    <w:name w:val="TableNormal"/>
    <w:tblPr>
      <w:tblCellMar>
        <w:top w:w="100" w:type="dxa"/>
        <w:left w:w="100" w:type="dxa"/>
        <w:bottom w:w="100" w:type="dxa"/>
        <w:right w:w="100" w:type="dxa"/>
      </w:tblCellMar>
    </w:tblPr>
  </w:style>
  <w:style w:type="table" w:customStyle="1" w:styleId="TableNormal6">
    <w:name w:val="TableNormal"/>
    <w:tblPr>
      <w:tblCellMar>
        <w:top w:w="100" w:type="dxa"/>
        <w:left w:w="100" w:type="dxa"/>
        <w:bottom w:w="100" w:type="dxa"/>
        <w:right w:w="100" w:type="dxa"/>
      </w:tblCellMar>
    </w:tblPr>
  </w:style>
  <w:style w:type="table" w:customStyle="1" w:styleId="TableNormal7">
    <w:name w:val="TableNormal"/>
    <w:tblPr>
      <w:tblCellMar>
        <w:top w:w="100" w:type="dxa"/>
        <w:left w:w="100" w:type="dxa"/>
        <w:bottom w:w="100" w:type="dxa"/>
        <w:right w:w="100" w:type="dxa"/>
      </w:tblCellMar>
    </w:tblPr>
  </w:style>
  <w:style w:type="table" w:customStyle="1" w:styleId="TableNormal8">
    <w:name w:val="TableNormal"/>
    <w:tblPr>
      <w:tblCellMar>
        <w:top w:w="100" w:type="dxa"/>
        <w:left w:w="100" w:type="dxa"/>
        <w:bottom w:w="100" w:type="dxa"/>
        <w:right w:w="100" w:type="dxa"/>
      </w:tblCellMar>
    </w:tblPr>
  </w:style>
  <w:style w:type="table" w:customStyle="1" w:styleId="TableNormal9">
    <w:name w:val="TableNormal"/>
    <w:tblPr>
      <w:tblCellMar>
        <w:top w:w="100" w:type="dxa"/>
        <w:left w:w="100" w:type="dxa"/>
        <w:bottom w:w="100" w:type="dxa"/>
        <w:right w:w="100" w:type="dxa"/>
      </w:tblCellMar>
    </w:tblPr>
  </w:style>
  <w:style w:type="table" w:customStyle="1" w:styleId="TableNormala">
    <w:name w:val="TableNormal"/>
    <w:tblPr>
      <w:tblCellMar>
        <w:top w:w="100" w:type="dxa"/>
        <w:left w:w="100" w:type="dxa"/>
        <w:bottom w:w="100" w:type="dxa"/>
        <w:right w:w="100" w:type="dxa"/>
      </w:tblCellMar>
    </w:tblPr>
  </w:style>
  <w:style w:type="table" w:customStyle="1" w:styleId="TableNormalb">
    <w:name w:val="TableNormal"/>
    <w:tblPr>
      <w:tblCellMar>
        <w:top w:w="100" w:type="dxa"/>
        <w:left w:w="100" w:type="dxa"/>
        <w:bottom w:w="100" w:type="dxa"/>
        <w:right w:w="100" w:type="dxa"/>
      </w:tblCellMar>
    </w:tblPr>
  </w:style>
  <w:style w:type="paragraph" w:styleId="Header">
    <w:name w:val="header"/>
    <w:rsid w:val="00C827A1"/>
    <w:pPr>
      <w:tabs>
        <w:tab w:val="center" w:pos="4536"/>
        <w:tab w:val="right" w:pos="9072"/>
      </w:tabs>
    </w:pPr>
  </w:style>
  <w:style w:type="paragraph" w:styleId="Footer">
    <w:name w:val="footer"/>
    <w:semiHidden/>
    <w:rsid w:val="00C827A1"/>
    <w:pPr>
      <w:tabs>
        <w:tab w:val="center" w:pos="4536"/>
        <w:tab w:val="right" w:pos="9072"/>
      </w:tabs>
    </w:pPr>
  </w:style>
  <w:style w:type="paragraph" w:customStyle="1" w:styleId="EinfacherAbsatz">
    <w:name w:val="[Einfacher Absatz]"/>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Antrat1Diagrama">
    <w:name w:val="Antraštė 1 Diagrama"/>
    <w:basedOn w:val="DefaultParagraphFont"/>
    <w:rsid w:val="00C43D66"/>
    <w:rPr>
      <w:rFonts w:ascii="Arial" w:hAnsi="Arial"/>
      <w:b/>
      <w:sz w:val="28"/>
      <w:szCs w:val="28"/>
      <w:lang w:val="fr-FR"/>
    </w:rPr>
  </w:style>
  <w:style w:type="paragraph" w:styleId="ListParagraph">
    <w:name w:val="List Paragraph"/>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Antrat3Diagrama">
    <w:name w:val="Antraštė 3 Diagrama"/>
    <w:basedOn w:val="DefaultParagraphFont"/>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2">
    <w:name w:val="Unresolved Mention2"/>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F64841"/>
    <w:rPr>
      <w:color w:val="800080" w:themeColor="followedHyperlink"/>
      <w:u w:val="single"/>
    </w:rPr>
  </w:style>
  <w:style w:type="character" w:styleId="UnresolvedMention">
    <w:name w:val="Unresolved Mention"/>
    <w:basedOn w:val="DefaultParagraphFont"/>
    <w:rsid w:val="00881D4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8242212">
      <w:bodyDiv w:val="1"/>
      <w:marLeft w:val="0"/>
      <w:marRight w:val="0"/>
      <w:marTop w:val="0"/>
      <w:marBottom w:val="0"/>
      <w:divBdr>
        <w:top w:val="none" w:sz="0" w:space="0" w:color="auto"/>
        <w:left w:val="none" w:sz="0" w:space="0" w:color="auto"/>
        <w:bottom w:val="none" w:sz="0" w:space="0" w:color="auto"/>
        <w:right w:val="none" w:sz="0" w:space="0" w:color="auto"/>
      </w:divBdr>
    </w:div>
    <w:div w:id="1437948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irjf5Zz4Ba5vgoLCjqnz9+xYRw==">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2195</Words>
  <Characters>1252</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Rita</cp:lastModifiedBy>
  <cp:revision>7</cp:revision>
  <dcterms:created xsi:type="dcterms:W3CDTF">2025-10-22T12:59:00Z</dcterms:created>
  <dcterms:modified xsi:type="dcterms:W3CDTF">2025-10-23T09:52:00Z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d0e3e5fd84c01994f43489ed091d1f42b7f53a71493cb77245ed2e32dece860c</vt:lpwstr>
  </property>
</Properties>
</file>