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87C5" w14:textId="77777777" w:rsidR="00BA4A02" w:rsidRPr="00415B47" w:rsidRDefault="16A9EA3F" w:rsidP="00BA4A02">
      <w:pPr>
        <w:rPr>
          <w:rFonts w:ascii="Roboto" w:eastAsia="Arial" w:hAnsi="Roboto" w:cs="Arial"/>
          <w:b/>
          <w:bCs/>
          <w:color w:val="000000" w:themeColor="text1"/>
          <w:lang w:val="lt-LT"/>
        </w:rPr>
      </w:pPr>
      <w:r w:rsidRPr="0086342D">
        <w:rPr>
          <w:lang w:val="de-DE"/>
        </w:rPr>
        <w:br/>
      </w:r>
      <w:r w:rsidR="00BA4A02" w:rsidRPr="00415B47">
        <w:rPr>
          <w:rFonts w:ascii="Roboto" w:eastAsia="Arial" w:hAnsi="Roboto" w:cs="Arial"/>
          <w:b/>
          <w:bCs/>
          <w:color w:val="000000" w:themeColor="text1"/>
          <w:lang w:val="lt-LT"/>
        </w:rPr>
        <w:t>Pranešimas žiniasklaidai</w:t>
      </w:r>
    </w:p>
    <w:p w14:paraId="7C597127" w14:textId="1BB1E8F6" w:rsidR="00BA4A02" w:rsidRPr="00415B47" w:rsidRDefault="00BA4A02" w:rsidP="00BA4A02">
      <w:pPr>
        <w:jc w:val="both"/>
        <w:rPr>
          <w:rFonts w:ascii="Roboto" w:hAnsi="Roboto" w:cs="Arial"/>
          <w:lang w:val="lt-LT"/>
        </w:rPr>
      </w:pPr>
      <w:r w:rsidRPr="00415B47">
        <w:rPr>
          <w:rFonts w:ascii="Roboto" w:hAnsi="Roboto" w:cs="Arial"/>
          <w:lang w:val="lt-LT"/>
        </w:rPr>
        <w:t>202</w:t>
      </w:r>
      <w:r w:rsidR="00146995" w:rsidRPr="00415B47">
        <w:rPr>
          <w:rFonts w:ascii="Roboto" w:hAnsi="Roboto" w:cs="Arial"/>
          <w:lang w:val="en-US"/>
        </w:rPr>
        <w:t>5</w:t>
      </w:r>
      <w:r w:rsidRPr="00415B47">
        <w:rPr>
          <w:rFonts w:ascii="Roboto" w:hAnsi="Roboto" w:cs="Arial"/>
          <w:lang w:val="lt-LT"/>
        </w:rPr>
        <w:t xml:space="preserve"> m. </w:t>
      </w:r>
      <w:r w:rsidR="00146995" w:rsidRPr="00415B47">
        <w:rPr>
          <w:rFonts w:ascii="Roboto" w:hAnsi="Roboto" w:cs="Arial"/>
          <w:lang w:val="lt-LT"/>
        </w:rPr>
        <w:t>spalio</w:t>
      </w:r>
      <w:r w:rsidRPr="00415B47">
        <w:rPr>
          <w:rFonts w:ascii="Roboto" w:hAnsi="Roboto" w:cs="Arial"/>
          <w:lang w:val="lt-LT"/>
        </w:rPr>
        <w:t xml:space="preserve"> </w:t>
      </w:r>
      <w:r w:rsidR="00146995" w:rsidRPr="00415B47">
        <w:rPr>
          <w:rFonts w:ascii="Roboto" w:hAnsi="Roboto" w:cs="Arial"/>
          <w:lang w:val="lt-LT"/>
        </w:rPr>
        <w:t>27</w:t>
      </w:r>
      <w:r w:rsidRPr="00415B47">
        <w:rPr>
          <w:rFonts w:ascii="Roboto" w:hAnsi="Roboto" w:cs="Arial"/>
          <w:lang w:val="lt-LT"/>
        </w:rPr>
        <w:t xml:space="preserve"> d.</w:t>
      </w:r>
    </w:p>
    <w:p w14:paraId="27DC830B" w14:textId="77777777" w:rsidR="00146995" w:rsidRPr="00415B47" w:rsidRDefault="00146995" w:rsidP="00146995">
      <w:pPr>
        <w:spacing w:before="120" w:after="120"/>
        <w:jc w:val="both"/>
        <w:rPr>
          <w:rFonts w:ascii="Roboto" w:hAnsi="Roboto" w:cs="Arial"/>
          <w:sz w:val="24"/>
          <w:szCs w:val="24"/>
          <w:lang w:val="lt-LT"/>
        </w:rPr>
      </w:pPr>
      <w:r w:rsidRPr="00415B47">
        <w:rPr>
          <w:rFonts w:ascii="Roboto" w:hAnsi="Roboto" w:cs="Arial"/>
          <w:b/>
          <w:bCs/>
          <w:sz w:val="24"/>
          <w:szCs w:val="24"/>
          <w:lang w:val="lt-LT"/>
        </w:rPr>
        <w:t>„Citadele“ bankas verslui suteiks 125 mln. eurų paskolų su valstybės pagalba</w:t>
      </w:r>
    </w:p>
    <w:p w14:paraId="519C0E25" w14:textId="77777777" w:rsidR="00146995" w:rsidRPr="0014094D" w:rsidRDefault="00146995" w:rsidP="00146995">
      <w:pPr>
        <w:spacing w:before="120" w:after="120"/>
        <w:jc w:val="both"/>
        <w:rPr>
          <w:rFonts w:ascii="Roboto" w:hAnsi="Roboto" w:cs="Arial"/>
          <w:lang w:val="lt-LT"/>
        </w:rPr>
      </w:pPr>
      <w:r w:rsidRPr="0014094D">
        <w:rPr>
          <w:rFonts w:ascii="Roboto" w:hAnsi="Roboto" w:cs="Arial"/>
          <w:b/>
          <w:lang w:val="lt-LT"/>
        </w:rPr>
        <w:t xml:space="preserve">„Citadele“ bankas kartu su nacionaliniu plėtros banku </w:t>
      </w:r>
      <w:r w:rsidRPr="0014094D">
        <w:rPr>
          <w:rFonts w:ascii="Roboto" w:hAnsi="Roboto" w:cs="Arial"/>
          <w:b/>
          <w:bCs/>
          <w:lang w:val="lt-LT"/>
        </w:rPr>
        <w:t>ILTE</w:t>
      </w:r>
      <w:r w:rsidRPr="0014094D">
        <w:rPr>
          <w:rFonts w:ascii="Roboto" w:hAnsi="Roboto" w:cs="Arial"/>
          <w:b/>
          <w:lang w:val="lt-LT"/>
        </w:rPr>
        <w:t xml:space="preserve"> pasirašė sutartį, pagal kurią verslui suteikiamas papildomas 125 mln. eurų paskolų portfelis</w:t>
      </w:r>
      <w:r w:rsidRPr="0014094D">
        <w:rPr>
          <w:rFonts w:ascii="Roboto" w:hAnsi="Roboto" w:cs="Arial"/>
          <w:b/>
          <w:bCs/>
          <w:lang w:val="lt-LT"/>
        </w:rPr>
        <w:t>, užtikrintas ILTE garantija.</w:t>
      </w:r>
      <w:r w:rsidRPr="0014094D">
        <w:rPr>
          <w:rFonts w:ascii="Roboto" w:hAnsi="Roboto" w:cs="Arial"/>
          <w:b/>
          <w:lang w:val="lt-LT"/>
        </w:rPr>
        <w:t xml:space="preserve"> Ši </w:t>
      </w:r>
      <w:r w:rsidRPr="0014094D">
        <w:rPr>
          <w:rFonts w:ascii="Roboto" w:hAnsi="Roboto" w:cs="Arial"/>
          <w:b/>
          <w:bCs/>
          <w:lang w:val="lt-LT"/>
        </w:rPr>
        <w:t>garantija</w:t>
      </w:r>
      <w:r w:rsidRPr="0014094D">
        <w:rPr>
          <w:rFonts w:ascii="Roboto" w:hAnsi="Roboto" w:cs="Arial"/>
          <w:b/>
          <w:lang w:val="lt-LT"/>
        </w:rPr>
        <w:t xml:space="preserve"> bus </w:t>
      </w:r>
      <w:r w:rsidRPr="0014094D">
        <w:rPr>
          <w:rFonts w:ascii="Roboto" w:hAnsi="Roboto" w:cs="Arial"/>
          <w:b/>
          <w:bCs/>
          <w:lang w:val="lt-LT"/>
        </w:rPr>
        <w:t>teikiama</w:t>
      </w:r>
      <w:r w:rsidRPr="0014094D">
        <w:rPr>
          <w:rFonts w:ascii="Roboto" w:hAnsi="Roboto" w:cs="Arial"/>
          <w:b/>
          <w:lang w:val="lt-LT"/>
        </w:rPr>
        <w:t xml:space="preserve"> pagal valstybės finansuojamą priemonę „Portfelinės garantijos 3“, skirtą smulkiajam ir vidutiniam verslui (SVV).</w:t>
      </w:r>
      <w:r w:rsidRPr="0014094D">
        <w:rPr>
          <w:rFonts w:ascii="Roboto" w:hAnsi="Roboto" w:cs="Arial"/>
          <w:lang w:val="lt-LT"/>
        </w:rPr>
        <w:t> </w:t>
      </w:r>
    </w:p>
    <w:p w14:paraId="6AD7706A" w14:textId="77777777" w:rsidR="00146995" w:rsidRPr="0014094D" w:rsidRDefault="00146995" w:rsidP="00146995">
      <w:pPr>
        <w:spacing w:before="120" w:after="120"/>
        <w:jc w:val="both"/>
        <w:rPr>
          <w:rFonts w:ascii="Roboto" w:hAnsi="Roboto" w:cs="Arial"/>
          <w:lang w:val="lt-LT"/>
        </w:rPr>
      </w:pPr>
      <w:r w:rsidRPr="0014094D">
        <w:rPr>
          <w:rFonts w:ascii="Roboto" w:hAnsi="Roboto" w:cs="Arial"/>
          <w:lang w:val="lt-LT"/>
        </w:rPr>
        <w:t>Pagal šią priemonę, per pastaruosius 3 metus „Citadele“ bankas suteikė finansavimą už daugiau nei 110 mln. eurų, o vien nuo šių metų pradžios – už daugiau kaip 40 mln. eurų. Įvertinęs vis didėjančius verslo poreikius investicijoms ir apyvartiniam kapitalui finansuoti, bankas pasirašė sutartį dėl papildomo 125 mln. eurų portfelio paskoloms garantuoti.</w:t>
      </w:r>
    </w:p>
    <w:p w14:paraId="66007D94" w14:textId="77777777" w:rsidR="00146995" w:rsidRPr="0014094D" w:rsidRDefault="00146995" w:rsidP="00146995">
      <w:pPr>
        <w:spacing w:before="120" w:after="120"/>
        <w:jc w:val="both"/>
        <w:rPr>
          <w:rFonts w:ascii="Roboto" w:hAnsi="Roboto" w:cs="Arial"/>
          <w:lang w:val="lt-LT"/>
        </w:rPr>
      </w:pPr>
      <w:r w:rsidRPr="0014094D">
        <w:rPr>
          <w:rFonts w:ascii="Roboto" w:hAnsi="Roboto" w:cs="Arial"/>
          <w:lang w:val="lt-LT"/>
        </w:rPr>
        <w:t>Pagal priemonę „Portfelinės garantijos 3“, ILTE garantuos iki 80 proc. paskolos sumos, o maksimali vienos paskolos suma gali siekti 2 812 500 eurų. </w:t>
      </w:r>
    </w:p>
    <w:p w14:paraId="3BDE8656" w14:textId="77777777" w:rsidR="00146995" w:rsidRPr="0014094D" w:rsidRDefault="00146995" w:rsidP="00146995">
      <w:pPr>
        <w:spacing w:before="120" w:after="120"/>
        <w:jc w:val="both"/>
        <w:rPr>
          <w:rFonts w:ascii="Roboto" w:hAnsi="Roboto" w:cs="Arial"/>
          <w:lang w:val="lt-LT"/>
        </w:rPr>
      </w:pPr>
      <w:r w:rsidRPr="0014094D">
        <w:rPr>
          <w:rFonts w:ascii="Roboto" w:hAnsi="Roboto" w:cs="Arial"/>
          <w:lang w:val="lt-LT"/>
        </w:rPr>
        <w:t xml:space="preserve">„Nuosekliai siekiame didinti finansavimo prieinamumą SVV įmonėms ir padėti joms augti. Papildoma garantijos suma leis suteikti daugiau paskolų tiek didesniems, tiek ir  mažiems verslams, kurie dažnai neturi pakankamo užstato. Portfelinės garantijos atveria kelią verslui gauti reikalingą finansavimą, kai tradiciniai skolinimosi būdai tampa riboti“, – teigia „Citadele“ banko valdybos narys ir verslo bankininkystės vadovas Vaidas Žagūnis. </w:t>
      </w:r>
    </w:p>
    <w:p w14:paraId="67B6ADE9" w14:textId="77777777" w:rsidR="0014094D" w:rsidRPr="00A04D85" w:rsidRDefault="0014094D" w:rsidP="00A04D85">
      <w:pPr>
        <w:pStyle w:val="NormalWeb"/>
        <w:shd w:val="clear" w:color="auto" w:fill="FFFFFF" w:themeFill="background1"/>
        <w:spacing w:before="0" w:beforeAutospacing="0" w:after="0" w:afterAutospacing="0"/>
        <w:rPr>
          <w:rFonts w:ascii="Roboto" w:hAnsi="Roboto"/>
          <w:color w:val="000000"/>
          <w:sz w:val="22"/>
          <w:szCs w:val="22"/>
        </w:rPr>
      </w:pPr>
      <w:r w:rsidRPr="00A04D85">
        <w:rPr>
          <w:rFonts w:ascii="Roboto" w:hAnsi="Roboto" w:cs="Arial"/>
          <w:color w:val="000000"/>
          <w:sz w:val="22"/>
          <w:szCs w:val="22"/>
          <w:shd w:val="clear" w:color="auto" w:fill="FFFFFF"/>
        </w:rPr>
        <w:t>Pasak ILTE valdybos narės ir klientų finansavimo tarnybos vadovės Giedrės Gečiauskienės, valstybės ir privačių finansuotojų bendradarbiavimas yra puikus sinergijos pavyzdys. </w:t>
      </w:r>
    </w:p>
    <w:p w14:paraId="663ABA67" w14:textId="77777777" w:rsidR="0014094D" w:rsidRPr="00A04D85" w:rsidRDefault="0014094D" w:rsidP="00A04D85">
      <w:pPr>
        <w:pStyle w:val="NormalWeb"/>
        <w:shd w:val="clear" w:color="auto" w:fill="FFFFFF" w:themeFill="background1"/>
        <w:spacing w:before="0" w:beforeAutospacing="0" w:after="0" w:afterAutospacing="0"/>
        <w:rPr>
          <w:rFonts w:ascii="Roboto" w:hAnsi="Roboto"/>
          <w:color w:val="000000"/>
          <w:sz w:val="22"/>
          <w:szCs w:val="22"/>
        </w:rPr>
      </w:pPr>
      <w:r w:rsidRPr="00A04D85">
        <w:rPr>
          <w:rFonts w:ascii="Roboto" w:hAnsi="Roboto" w:cs="Arial"/>
          <w:color w:val="000000"/>
          <w:sz w:val="22"/>
          <w:szCs w:val="22"/>
          <w:shd w:val="clear" w:color="auto" w:fill="FFFFFF"/>
        </w:rPr>
        <w:t> </w:t>
      </w:r>
    </w:p>
    <w:p w14:paraId="760DFDCC" w14:textId="77777777" w:rsidR="0014094D" w:rsidRPr="0014094D" w:rsidRDefault="0014094D" w:rsidP="00A04D85">
      <w:pPr>
        <w:pStyle w:val="NormalWeb"/>
        <w:shd w:val="clear" w:color="auto" w:fill="FFFFFF" w:themeFill="background1"/>
        <w:spacing w:before="0" w:beforeAutospacing="0" w:after="0" w:afterAutospacing="0"/>
        <w:rPr>
          <w:rFonts w:ascii="Roboto" w:hAnsi="Roboto"/>
          <w:color w:val="000000"/>
          <w:sz w:val="22"/>
          <w:szCs w:val="22"/>
        </w:rPr>
      </w:pPr>
      <w:r w:rsidRPr="00A04D85">
        <w:rPr>
          <w:rFonts w:ascii="Roboto" w:hAnsi="Roboto" w:cs="Arial"/>
          <w:color w:val="000000"/>
          <w:sz w:val="22"/>
          <w:szCs w:val="22"/>
          <w:shd w:val="clear" w:color="auto" w:fill="FFFFFF"/>
        </w:rPr>
        <w:t>„Portfelinės garantijos suteikia galimybę verslui gauti reikalingą finansavimą net ir tuomet, kai trūksta užstato. Bankai gali efektyviau valdyti riziką, o įmonės – įgyvendinti plėtros planus, kurti darbo vietas ir prisidėti prie ekonomikos augimo. Džiaugiamės tęsdami sėkmingą partnerystę su „Citadele“ banku ir matydami augantį verslų pasitikėjimą šia priemone“, – sako G. Gečiauskienė.</w:t>
      </w:r>
    </w:p>
    <w:p w14:paraId="070659DF" w14:textId="77777777" w:rsidR="00146995" w:rsidRPr="0014094D" w:rsidRDefault="00146995" w:rsidP="00146995">
      <w:pPr>
        <w:spacing w:before="120" w:after="120"/>
        <w:jc w:val="both"/>
        <w:rPr>
          <w:rFonts w:ascii="Roboto" w:hAnsi="Roboto" w:cs="Arial"/>
          <w:lang w:val="lt-LT"/>
        </w:rPr>
      </w:pPr>
      <w:r w:rsidRPr="0014094D">
        <w:rPr>
          <w:rFonts w:ascii="Roboto" w:hAnsi="Roboto" w:cs="Arial"/>
          <w:lang w:val="lt-LT"/>
        </w:rPr>
        <w:t>„Portfelinės garantijos 3“ priemonė leidžia SVV gauti finansavimą investicijoms ir apyvartinėms lėšoms, taikant mažesnius užstato reikalavimus. Priemonė taikoma SVV subjektams, kurių darbuotojų skaičius nesiekia 250, o metinė apyvarta neviršija 50 mln. eurų ir / arba įmonės balanse nurodyto viso turto vertė nėra didesnė nei 43 mln. eurų. </w:t>
      </w:r>
    </w:p>
    <w:p w14:paraId="42155D69" w14:textId="254451A0" w:rsidR="00AA46CC" w:rsidRPr="0014094D" w:rsidRDefault="00146995" w:rsidP="00146995">
      <w:pPr>
        <w:spacing w:before="120" w:after="120"/>
        <w:jc w:val="both"/>
        <w:rPr>
          <w:rFonts w:ascii="Roboto" w:hAnsi="Roboto" w:cs="Arial"/>
          <w:lang w:val="lt-LT"/>
        </w:rPr>
      </w:pPr>
      <w:r w:rsidRPr="0014094D">
        <w:rPr>
          <w:rFonts w:ascii="Roboto" w:hAnsi="Roboto" w:cs="Arial"/>
          <w:lang w:val="lt-LT"/>
        </w:rPr>
        <w:t>Nuo 2017 metų paskolas su ILTE portfelinėmis garantijomis teikiantis „Citadele“ bankas jau yra pasirašęs tokių paskolų sutarčių už daugiau kaip 200 mln. eurų.</w:t>
      </w:r>
    </w:p>
    <w:sectPr w:rsidR="00AA46CC" w:rsidRPr="0014094D"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9D083" w14:textId="77777777" w:rsidR="00146995" w:rsidRDefault="00146995">
      <w:r>
        <w:separator/>
      </w:r>
    </w:p>
  </w:endnote>
  <w:endnote w:type="continuationSeparator" w:id="0">
    <w:p w14:paraId="35C917C1" w14:textId="77777777" w:rsidR="00146995" w:rsidRDefault="00146995">
      <w:r>
        <w:continuationSeparator/>
      </w:r>
    </w:p>
  </w:endnote>
  <w:endnote w:type="continuationNotice" w:id="1">
    <w:p w14:paraId="07C77350" w14:textId="77777777" w:rsidR="00146995" w:rsidRDefault="00146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FD0C8" w14:textId="77777777" w:rsidR="00146995" w:rsidRDefault="00146995">
      <w:r>
        <w:separator/>
      </w:r>
    </w:p>
  </w:footnote>
  <w:footnote w:type="continuationSeparator" w:id="0">
    <w:p w14:paraId="0FC2CD04" w14:textId="77777777" w:rsidR="00146995" w:rsidRDefault="00146995">
      <w:r>
        <w:continuationSeparator/>
      </w:r>
    </w:p>
  </w:footnote>
  <w:footnote w:type="continuationNotice" w:id="1">
    <w:p w14:paraId="0B3A5CEA" w14:textId="77777777" w:rsidR="00146995" w:rsidRDefault="00146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1D7E3"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88091FE" wp14:editId="076D888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2"/>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995"/>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094D"/>
    <w:rsid w:val="00146995"/>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15B47"/>
    <w:rsid w:val="00421ECF"/>
    <w:rsid w:val="00425193"/>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04D85"/>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45C9"/>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35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14094D"/>
    <w:pPr>
      <w:spacing w:before="100" w:beforeAutospacing="1" w:after="100" w:afterAutospacing="1"/>
    </w:pPr>
    <w:rPr>
      <w:sz w:val="24"/>
      <w:szCs w:val="24"/>
      <w:lang w:val="en-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322</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2025-10-27T07:25:00Z</dcterms:created>
  <dcterms:modified xsi:type="dcterms:W3CDTF">2025-10-27T13:20:00Z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