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D857C" w14:textId="77777777" w:rsidR="00BB41CD" w:rsidRPr="00BB41CD" w:rsidRDefault="00BB41CD" w:rsidP="00BB41CD">
      <w:pPr>
        <w:spacing w:before="280" w:after="80"/>
        <w:outlineLvl w:val="2"/>
        <w:rPr>
          <w:rFonts w:ascii="Times New Roman" w:eastAsia="Times New Roman" w:hAnsi="Times New Roman" w:cs="Times New Roman"/>
          <w:b/>
          <w:bCs/>
          <w:kern w:val="0"/>
          <w:sz w:val="27"/>
          <w:szCs w:val="27"/>
          <w:lang w:eastAsia="en-GB"/>
          <w14:ligatures w14:val="none"/>
        </w:rPr>
      </w:pPr>
      <w:r w:rsidRPr="00BB41CD">
        <w:rPr>
          <w:rFonts w:ascii="Arial" w:eastAsia="Times New Roman" w:hAnsi="Arial" w:cs="Arial"/>
          <w:i/>
          <w:iCs/>
          <w:color w:val="000000"/>
          <w:kern w:val="0"/>
          <w:lang w:eastAsia="en-GB"/>
          <w14:ligatures w14:val="none"/>
        </w:rPr>
        <w:t>Informacija žiniasklaidai</w:t>
      </w:r>
    </w:p>
    <w:p w14:paraId="4566C0DC" w14:textId="188BA028" w:rsidR="00BB41CD" w:rsidRPr="00BB41CD" w:rsidRDefault="00BB41CD" w:rsidP="00BB41CD">
      <w:pPr>
        <w:rPr>
          <w:rFonts w:ascii="Arial" w:eastAsia="Times New Roman" w:hAnsi="Arial" w:cs="Arial"/>
          <w:i/>
          <w:iCs/>
          <w:color w:val="000000"/>
          <w:kern w:val="0"/>
          <w:lang w:val="lt-LT" w:eastAsia="en-GB"/>
          <w14:ligatures w14:val="none"/>
        </w:rPr>
      </w:pPr>
      <w:r w:rsidRPr="00BB41CD">
        <w:rPr>
          <w:rFonts w:ascii="Arial" w:eastAsia="Times New Roman" w:hAnsi="Arial" w:cs="Arial"/>
          <w:i/>
          <w:iCs/>
          <w:color w:val="000000"/>
          <w:kern w:val="0"/>
          <w:lang w:eastAsia="en-GB"/>
          <w14:ligatures w14:val="none"/>
        </w:rPr>
        <w:t xml:space="preserve">2025 m. lapkričio </w:t>
      </w:r>
      <w:r>
        <w:rPr>
          <w:rFonts w:ascii="Arial" w:eastAsia="Times New Roman" w:hAnsi="Arial" w:cs="Arial"/>
          <w:i/>
          <w:iCs/>
          <w:color w:val="000000"/>
          <w:kern w:val="0"/>
          <w:lang w:val="lt-LT" w:eastAsia="en-GB"/>
          <w14:ligatures w14:val="none"/>
        </w:rPr>
        <w:t>7</w:t>
      </w:r>
      <w:r w:rsidRPr="00BB41CD">
        <w:rPr>
          <w:rFonts w:ascii="Arial" w:eastAsia="Times New Roman" w:hAnsi="Arial" w:cs="Arial"/>
          <w:i/>
          <w:iCs/>
          <w:color w:val="000000"/>
          <w:kern w:val="0"/>
          <w:lang w:eastAsia="en-GB"/>
          <w14:ligatures w14:val="none"/>
        </w:rPr>
        <w:t xml:space="preserve"> d.</w:t>
      </w:r>
    </w:p>
    <w:p w14:paraId="12019775" w14:textId="77777777" w:rsidR="00BB41CD" w:rsidRPr="00BB41CD" w:rsidRDefault="00BB41CD" w:rsidP="00BB41CD">
      <w:pPr>
        <w:spacing w:before="280" w:after="80"/>
        <w:jc w:val="center"/>
        <w:outlineLvl w:val="2"/>
        <w:rPr>
          <w:rFonts w:ascii="Times New Roman" w:eastAsia="Times New Roman" w:hAnsi="Times New Roman" w:cs="Times New Roman"/>
          <w:b/>
          <w:bCs/>
          <w:kern w:val="0"/>
          <w:sz w:val="27"/>
          <w:szCs w:val="27"/>
          <w:lang w:eastAsia="en-GB"/>
          <w14:ligatures w14:val="none"/>
        </w:rPr>
      </w:pPr>
      <w:r w:rsidRPr="00BB41CD">
        <w:rPr>
          <w:rFonts w:ascii="Arial" w:eastAsia="Times New Roman" w:hAnsi="Arial" w:cs="Arial"/>
          <w:b/>
          <w:bCs/>
          <w:color w:val="000000"/>
          <w:kern w:val="0"/>
          <w:sz w:val="26"/>
          <w:szCs w:val="26"/>
          <w:lang w:eastAsia="en-GB"/>
          <w14:ligatures w14:val="none"/>
        </w:rPr>
        <w:t>„TransferGo“, „Visa“ ir „UNITED24“ vienijasi paramos kampanijai, kad padėtų Ukrainos vaikams mokytis saugesnėje aplinkoje</w:t>
      </w:r>
    </w:p>
    <w:p w14:paraId="621C2DAE" w14:textId="77777777" w:rsidR="00BB41CD" w:rsidRPr="00BB41CD" w:rsidRDefault="00BB41CD" w:rsidP="00BB41CD">
      <w:pPr>
        <w:rPr>
          <w:rFonts w:ascii="Times New Roman" w:eastAsia="Times New Roman" w:hAnsi="Times New Roman" w:cs="Times New Roman"/>
          <w:kern w:val="0"/>
          <w:lang w:eastAsia="en-GB"/>
          <w14:ligatures w14:val="none"/>
        </w:rPr>
      </w:pPr>
    </w:p>
    <w:p w14:paraId="6E1165AB"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Finansų sektoriaus lyderiai su vienu sėkmingiausių lietuviškų startuolių priešakyje vienija jėgas Ukrainos vaikams ir mokykloms remti. Oficiali  paramos Ukrainai platforma „UNITED24“, lietuvių įkurta pasaulinė pinigų pervedimo bendrovė „TransferGo“ ir skaitmeninių mokėjimų lyderė „Visa“ Europoje pradeda paramos kampaniją „Kiekvienas pervedimas svarbus“. Jos tikslas – padėti užtikrinti saugesnes mokymosi sąlygas Ukrainos vaikams.</w:t>
      </w:r>
    </w:p>
    <w:p w14:paraId="2C763BD2"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Iki  2026 m. sausio 7 d. „TransferGo“ už kiekvieną savo klientų Europoje atliekamą pinigų pervedimą į „Visa“ korteles Ukrainoje skirs 0,5 proc. sumos dydžio paramą organizacijos „UNITED24“ švietimo ir mokslo programai. „TransferGo“ klientams tai nieko nekainuos – paramą nuo kiekvieno kliento pervedimo skirs „TransferGo“. Surinktos lėšos bus skirtos nepertraukiamam ir saugesniam ugdymo procesui Ukrainoje sukurti. Parama pagal aktualiausią to meto poreikį bus panaudota įvairioms priemonėms: nuo elektros generatorių bei mokyklinių autobusų įsigijimo iki mokyklų aprūpinimo slėptuvėmis. </w:t>
      </w:r>
    </w:p>
    <w:p w14:paraId="4EE1B3F1"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„Kiekvienas mūsų klientų pervedimas į Ukrainą tampa paramos ir solidarumo veiksmu. Drauge jaunajai Ukrainos kartai suteiksime būtiną infrastruktūrą ir išteklius, sukursime daugiau galimybių būsimiesiems lyderiams ir inovatoriams kurti savo šalies ateitį. Tvirtai stovime Ukrainos pusėje ir stovėsime tiek, kiek reikės“, – sako „TransferGo“ generalinis direktorius ir bendraįkūrėjas Daumantas Dvilinskas.</w:t>
      </w:r>
    </w:p>
    <w:p w14:paraId="43C0F76C"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Ukrainos švietimo ir mokslo ministerijos duomenimis, iki 2025 m. rugsėjo rusija visiškai sunaikino 226 mokyklas, o dar 1820 – apgriovė. Daugiau kaip 330 mokyklų būtina skubiai įrengti slėptuves. Karo naikinamų mokyklų skaičiai nuolat didėja, nes rusija tęsia išpuolius prieš Ukrainos švietimo įstaigas.</w:t>
      </w:r>
    </w:p>
    <w:p w14:paraId="5CE0C007"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„Jau daugiau nei trejus su puse metų rusija kasdien rengia teroristinius išpuolius, nukreiptus prieš civilinę infrastruktūrą, įskaitant švietimo įstaigas. Agresorių tikslas – atimti iš mūsų vaikų teisę į mokslą, o iš Ukrainos – ateitį. To neleisime. Statome požemines mokyklas, atkuriame švietimo įstaigas ir stipriname visą švietimo sistemą. Kiekviena investicija į švietimą ir mokslą yra investicija į žmones – į Ukrainos žmogiškąjį kapitalą, ekonominę ir technologinę plėtrą, į stipresnę, saugesnę ir šviesesnę ateitį visiems. Esame dėkingi visiems, kurie prisideda prie šio tikslo“, – teigia Ukrainos švietimo ir mokslo viceministras Jevhenas Kudriavecas.</w:t>
      </w:r>
    </w:p>
    <w:p w14:paraId="3533A58F"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Ukrainos nacionalinio banko duomenimis, vien per pirmąjį 2025 m. pusmetį į banko sąskaitas Ukrainoje piniginiais pervedimais atkeliavo daugiau nei 6 mlrd. JAV dolerių iš užsienio šalių. Dalis šių milijonams kariaujančios šalies šeimų gyvybiškai svarbių lėšų pasiekė Ukrainą per „TransferGo“ – daugiau nei 1,1 mln. ukrainiečių pasirinko „TransferGo“ saugiam ir greitam pinigų pervedimui namo. Nuo šiol kiekvienas toks pervedimas reikš „TransferGo“ paramą, kuri bus panaudota Ukrainos mokyklų poreikiams užtikrinti.  </w:t>
      </w:r>
    </w:p>
    <w:p w14:paraId="196330B3"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t>„Visa“ tiki, kad kiekvienas vaikas turi teisę mokytis saugiai ir nepertraukiamai, ypač šiais netikrumo laikais. Džiaugiamės kartu su „UNITED24“ ir „TransferGo“ galėdami padėti Ukrainos šeimoms ir bendruomenėms kurti geresnes sąlygas vaikų ugdymui visoje šalyje. Kiekvienas pervedimas – tai daugiau nei mokėjimas, tai žingsnis link saugios ir sėkmingos Ukrainos ateities. Ir toliau palaikysime inovatyvius projektus, kurie stiprina mūsų visuomenę“, – sako Tetiana Čorna, „Visa“ viceprezidentė ir Ukrainos padalinio vadovė.</w:t>
      </w:r>
    </w:p>
    <w:p w14:paraId="0D4FFD06" w14:textId="77777777" w:rsidR="00BB41CD" w:rsidRPr="00BB41CD" w:rsidRDefault="00BB41CD" w:rsidP="00BB41CD">
      <w:pPr>
        <w:spacing w:before="240" w:after="240"/>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00000"/>
          <w:kern w:val="0"/>
          <w:sz w:val="22"/>
          <w:szCs w:val="22"/>
          <w:lang w:eastAsia="en-GB"/>
          <w14:ligatures w14:val="none"/>
        </w:rPr>
        <w:lastRenderedPageBreak/>
        <w:t>Prisidėti prie paramos kampanijos galima atliekant pervedimą į „Visa“ korteles Ukrainoje per „</w:t>
      </w:r>
      <w:hyperlink r:id="rId4" w:history="1">
        <w:r w:rsidRPr="00BB41CD">
          <w:rPr>
            <w:rFonts w:ascii="Arial" w:eastAsia="Times New Roman" w:hAnsi="Arial" w:cs="Arial"/>
            <w:color w:val="1155CC"/>
            <w:kern w:val="0"/>
            <w:sz w:val="22"/>
            <w:szCs w:val="22"/>
            <w:u w:val="single"/>
            <w:lang w:eastAsia="en-GB"/>
            <w14:ligatures w14:val="none"/>
          </w:rPr>
          <w:t>TransferGo</w:t>
        </w:r>
      </w:hyperlink>
      <w:r w:rsidRPr="00BB41CD">
        <w:rPr>
          <w:rFonts w:ascii="Arial" w:eastAsia="Times New Roman" w:hAnsi="Arial" w:cs="Arial"/>
          <w:color w:val="000000"/>
          <w:kern w:val="0"/>
          <w:sz w:val="22"/>
          <w:szCs w:val="22"/>
          <w:lang w:eastAsia="en-GB"/>
          <w14:ligatures w14:val="none"/>
        </w:rPr>
        <w:t>“ arba aukojant tiesiogiai „</w:t>
      </w:r>
      <w:hyperlink r:id="rId5" w:history="1">
        <w:r w:rsidRPr="00BB41CD">
          <w:rPr>
            <w:rFonts w:ascii="Arial" w:eastAsia="Times New Roman" w:hAnsi="Arial" w:cs="Arial"/>
            <w:color w:val="1155CC"/>
            <w:kern w:val="0"/>
            <w:sz w:val="22"/>
            <w:szCs w:val="22"/>
            <w:u w:val="single"/>
            <w:lang w:eastAsia="en-GB"/>
            <w14:ligatures w14:val="none"/>
          </w:rPr>
          <w:t>UNITED24</w:t>
        </w:r>
      </w:hyperlink>
      <w:r w:rsidRPr="00BB41CD">
        <w:rPr>
          <w:rFonts w:ascii="Arial" w:eastAsia="Times New Roman" w:hAnsi="Arial" w:cs="Arial"/>
          <w:color w:val="000000"/>
          <w:kern w:val="0"/>
          <w:sz w:val="22"/>
          <w:szCs w:val="22"/>
          <w:lang w:eastAsia="en-GB"/>
          <w14:ligatures w14:val="none"/>
        </w:rPr>
        <w:t>“. Aktyviausi kampanijos dalyviai bus apdovanoti išskirtiniais „TransferGo“ prizais.</w:t>
      </w:r>
    </w:p>
    <w:p w14:paraId="50AA9948" w14:textId="77777777" w:rsidR="00BB41CD" w:rsidRPr="00BB41CD" w:rsidRDefault="00BB41CD" w:rsidP="00BB41CD">
      <w:pPr>
        <w:rPr>
          <w:rFonts w:ascii="Times New Roman" w:eastAsia="Times New Roman" w:hAnsi="Times New Roman" w:cs="Times New Roman"/>
          <w:i/>
          <w:iCs/>
          <w:kern w:val="0"/>
          <w:lang w:eastAsia="en-GB"/>
          <w14:ligatures w14:val="none"/>
        </w:rPr>
      </w:pPr>
      <w:r w:rsidRPr="00BB41CD">
        <w:rPr>
          <w:rFonts w:ascii="Arial" w:eastAsia="Times New Roman" w:hAnsi="Arial" w:cs="Arial"/>
          <w:i/>
          <w:iCs/>
          <w:color w:val="000000"/>
          <w:kern w:val="0"/>
          <w:lang w:eastAsia="en-GB"/>
          <w14:ligatures w14:val="none"/>
        </w:rPr>
        <w:t>Daugiau informacijos:</w:t>
      </w:r>
    </w:p>
    <w:p w14:paraId="3BC751A6" w14:textId="77777777" w:rsidR="00BB41CD" w:rsidRPr="00BB41CD" w:rsidRDefault="00BB41CD" w:rsidP="00BB41CD">
      <w:pPr>
        <w:shd w:val="clear" w:color="auto" w:fill="FFFFFF"/>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D0D0D"/>
          <w:kern w:val="0"/>
          <w:lang w:eastAsia="en-GB"/>
          <w14:ligatures w14:val="none"/>
        </w:rPr>
        <w:t>„TransferGo“ komunikacijos vadovė</w:t>
      </w:r>
    </w:p>
    <w:p w14:paraId="689415C2" w14:textId="77777777" w:rsidR="00BB41CD" w:rsidRPr="00BB41CD" w:rsidRDefault="00BB41CD" w:rsidP="00BB41CD">
      <w:pPr>
        <w:shd w:val="clear" w:color="auto" w:fill="FFFFFF"/>
        <w:jc w:val="both"/>
        <w:rPr>
          <w:rFonts w:ascii="Times New Roman" w:eastAsia="Times New Roman" w:hAnsi="Times New Roman" w:cs="Times New Roman"/>
          <w:kern w:val="0"/>
          <w:lang w:eastAsia="en-GB"/>
          <w14:ligatures w14:val="none"/>
        </w:rPr>
      </w:pPr>
      <w:hyperlink r:id="rId6" w:history="1">
        <w:r w:rsidRPr="00BB41CD">
          <w:rPr>
            <w:rFonts w:ascii="Arial" w:eastAsia="Times New Roman" w:hAnsi="Arial" w:cs="Arial"/>
            <w:color w:val="1155CC"/>
            <w:kern w:val="0"/>
            <w:u w:val="single"/>
            <w:lang w:eastAsia="en-GB"/>
            <w14:ligatures w14:val="none"/>
          </w:rPr>
          <w:t>Vilma Radzevičienė</w:t>
        </w:r>
      </w:hyperlink>
    </w:p>
    <w:p w14:paraId="1413A61F" w14:textId="77777777" w:rsidR="00BB41CD" w:rsidRPr="00BB41CD" w:rsidRDefault="00BB41CD" w:rsidP="00BB41CD">
      <w:pPr>
        <w:shd w:val="clear" w:color="auto" w:fill="FFFFFF"/>
        <w:jc w:val="both"/>
        <w:rPr>
          <w:rFonts w:ascii="Times New Roman" w:eastAsia="Times New Roman" w:hAnsi="Times New Roman" w:cs="Times New Roman"/>
          <w:kern w:val="0"/>
          <w:lang w:eastAsia="en-GB"/>
          <w14:ligatures w14:val="none"/>
        </w:rPr>
      </w:pPr>
      <w:hyperlink r:id="rId7" w:history="1">
        <w:r w:rsidRPr="00BB41CD">
          <w:rPr>
            <w:rFonts w:ascii="Arial" w:eastAsia="Times New Roman" w:hAnsi="Arial" w:cs="Arial"/>
            <w:color w:val="1155CC"/>
            <w:kern w:val="0"/>
            <w:u w:val="single"/>
            <w:lang w:eastAsia="en-GB"/>
            <w14:ligatures w14:val="none"/>
          </w:rPr>
          <w:t>vilma.radzeviciene@transfergo.com</w:t>
        </w:r>
      </w:hyperlink>
      <w:r w:rsidRPr="00BB41CD">
        <w:rPr>
          <w:rFonts w:ascii="Arial" w:eastAsia="Times New Roman" w:hAnsi="Arial" w:cs="Arial"/>
          <w:color w:val="0D0D0D"/>
          <w:kern w:val="0"/>
          <w:lang w:eastAsia="en-GB"/>
          <w14:ligatures w14:val="none"/>
        </w:rPr>
        <w:t>. </w:t>
      </w:r>
    </w:p>
    <w:p w14:paraId="50D8A34A" w14:textId="77777777" w:rsidR="00BB41CD" w:rsidRPr="00BB41CD" w:rsidRDefault="00BB41CD" w:rsidP="00BB41CD">
      <w:pPr>
        <w:shd w:val="clear" w:color="auto" w:fill="FFFFFF"/>
        <w:jc w:val="both"/>
        <w:rPr>
          <w:rFonts w:ascii="Times New Roman" w:eastAsia="Times New Roman" w:hAnsi="Times New Roman" w:cs="Times New Roman"/>
          <w:kern w:val="0"/>
          <w:lang w:eastAsia="en-GB"/>
          <w14:ligatures w14:val="none"/>
        </w:rPr>
      </w:pPr>
      <w:r w:rsidRPr="00BB41CD">
        <w:rPr>
          <w:rFonts w:ascii="Arial" w:eastAsia="Times New Roman" w:hAnsi="Arial" w:cs="Arial"/>
          <w:color w:val="0D0D0D"/>
          <w:kern w:val="0"/>
          <w:lang w:eastAsia="en-GB"/>
          <w14:ligatures w14:val="none"/>
        </w:rPr>
        <w:t>+370 67 332965</w:t>
      </w:r>
    </w:p>
    <w:p w14:paraId="21FD3848" w14:textId="77777777" w:rsidR="00BB41CD" w:rsidRPr="00BB41CD" w:rsidRDefault="00BB41CD" w:rsidP="00BB41CD">
      <w:pPr>
        <w:rPr>
          <w:rFonts w:ascii="Times New Roman" w:eastAsia="Times New Roman" w:hAnsi="Times New Roman" w:cs="Times New Roman"/>
          <w:kern w:val="0"/>
          <w:lang w:eastAsia="en-GB"/>
          <w14:ligatures w14:val="none"/>
        </w:rPr>
      </w:pPr>
    </w:p>
    <w:p w14:paraId="16263990" w14:textId="235FF0F1" w:rsidR="00BF0BD5" w:rsidRPr="00BB41CD" w:rsidRDefault="00BF0BD5" w:rsidP="00BB41CD"/>
    <w:sectPr w:rsidR="00BF0BD5" w:rsidRPr="00BB41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54"/>
    <w:rsid w:val="00070F39"/>
    <w:rsid w:val="00BB41CD"/>
    <w:rsid w:val="00BF0BD5"/>
    <w:rsid w:val="00C9705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50BC330"/>
  <w15:chartTrackingRefBased/>
  <w15:docId w15:val="{4CE5BAEC-766C-B740-8D5A-660F08EB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9705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705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C9705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BB41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964731">
      <w:bodyDiv w:val="1"/>
      <w:marLeft w:val="0"/>
      <w:marRight w:val="0"/>
      <w:marTop w:val="0"/>
      <w:marBottom w:val="0"/>
      <w:divBdr>
        <w:top w:val="none" w:sz="0" w:space="0" w:color="auto"/>
        <w:left w:val="none" w:sz="0" w:space="0" w:color="auto"/>
        <w:bottom w:val="none" w:sz="0" w:space="0" w:color="auto"/>
        <w:right w:val="none" w:sz="0" w:space="0" w:color="auto"/>
      </w:divBdr>
    </w:div>
    <w:div w:id="1876654048">
      <w:bodyDiv w:val="1"/>
      <w:marLeft w:val="0"/>
      <w:marRight w:val="0"/>
      <w:marTop w:val="0"/>
      <w:marBottom w:val="0"/>
      <w:divBdr>
        <w:top w:val="none" w:sz="0" w:space="0" w:color="auto"/>
        <w:left w:val="none" w:sz="0" w:space="0" w:color="auto"/>
        <w:bottom w:val="none" w:sz="0" w:space="0" w:color="auto"/>
        <w:right w:val="none" w:sz="0" w:space="0" w:color="auto"/>
      </w:divBdr>
    </w:div>
    <w:div w:id="211677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vilma.radzeviciene@transferg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lma.radzeviciene@transfergo.com" TargetMode="External"/><Relationship Id="rId5" Type="http://schemas.openxmlformats.org/officeDocument/2006/relationships/hyperlink" Target="https://u24.gov.ua/uk/fgjdfksjcu." TargetMode="External"/><Relationship Id="rId4" Type="http://schemas.openxmlformats.org/officeDocument/2006/relationships/hyperlink" Target="https://www.transfergo.ua/?nab=1&amp;gad_source=1&amp;gad_campaignid=20264556190&amp;gbraid=0AAAAADgD0XpCy7uaup45cHkiS_NUGuDfj&amp;gclid=CjwKCAjw04HIBhB8EiwA8jGNbRVi0fu_hSMLYvjOh9zz4YWVn8z6VJDTcSEes0Zfs6sHkwavZkNgPxoC7h0QAvD_BwE&amp;utm_referrer=https%3A%2F%2Fwww.google.com%2F"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Ruta</dc:creator>
  <cp:keywords/>
  <dc:description/>
  <cp:lastModifiedBy>Ruta</cp:lastModifiedBy>
  <cp:revision>3</cp:revision>
  <dcterms:created xsi:type="dcterms:W3CDTF">2025-11-05T06:35:00Z</dcterms:created>
  <dcterms:modified xsi:type="dcterms:W3CDTF">2025-11-07T11:26:00Z</dcterms:modified>
</cp:coreProperties>
</file>