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4E207A" w:rsidRDefault="01B58D49" w:rsidP="3ECBBC8B">
      <w:pPr>
        <w:jc w:val="center"/>
        <w:rPr>
          <w:b/>
          <w:bCs/>
          <w:sz w:val="32"/>
          <w:szCs w:val="32"/>
          <w:lang w:val="en-US"/>
        </w:rPr>
      </w:pPr>
      <w:r w:rsidRPr="3ECBBC8B">
        <w:rPr>
          <w:b/>
          <w:bCs/>
          <w:sz w:val="32"/>
          <w:szCs w:val="32"/>
          <w:lang w:val="en-US"/>
        </w:rPr>
        <w:t xml:space="preserve">Trečiąjį ketvirtį sukčiai iš gyventojų išviliojo 4,9 mln. </w:t>
      </w:r>
      <w:proofErr w:type="spellStart"/>
      <w:r w:rsidRPr="3ECBBC8B">
        <w:rPr>
          <w:b/>
          <w:bCs/>
          <w:sz w:val="32"/>
          <w:szCs w:val="32"/>
          <w:lang w:val="en-US"/>
        </w:rPr>
        <w:t>eurų</w:t>
      </w:r>
      <w:proofErr w:type="spellEnd"/>
      <w:r w:rsidRPr="3ECBBC8B">
        <w:rPr>
          <w:b/>
          <w:bCs/>
          <w:sz w:val="32"/>
          <w:szCs w:val="32"/>
          <w:lang w:val="en-US"/>
        </w:rPr>
        <w:t xml:space="preserve">, </w:t>
      </w:r>
      <w:proofErr w:type="spellStart"/>
      <w:r w:rsidRPr="3ECBBC8B">
        <w:rPr>
          <w:b/>
          <w:bCs/>
          <w:sz w:val="32"/>
          <w:szCs w:val="32"/>
          <w:lang w:val="en-US"/>
        </w:rPr>
        <w:t>ekspertai</w:t>
      </w:r>
      <w:proofErr w:type="spellEnd"/>
      <w:r w:rsidRPr="3ECBBC8B">
        <w:rPr>
          <w:b/>
          <w:bCs/>
          <w:sz w:val="32"/>
          <w:szCs w:val="32"/>
          <w:lang w:val="en-US"/>
        </w:rPr>
        <w:t xml:space="preserve"> </w:t>
      </w:r>
      <w:proofErr w:type="spellStart"/>
      <w:r w:rsidRPr="3ECBBC8B">
        <w:rPr>
          <w:b/>
          <w:bCs/>
          <w:sz w:val="32"/>
          <w:szCs w:val="32"/>
          <w:lang w:val="en-US"/>
        </w:rPr>
        <w:t>prašo</w:t>
      </w:r>
      <w:proofErr w:type="spellEnd"/>
      <w:r w:rsidRPr="3ECBBC8B">
        <w:rPr>
          <w:b/>
          <w:bCs/>
          <w:sz w:val="32"/>
          <w:szCs w:val="32"/>
          <w:lang w:val="en-US"/>
        </w:rPr>
        <w:t xml:space="preserve"> </w:t>
      </w:r>
      <w:proofErr w:type="spellStart"/>
      <w:r w:rsidRPr="3ECBBC8B">
        <w:rPr>
          <w:b/>
          <w:bCs/>
          <w:sz w:val="32"/>
          <w:szCs w:val="32"/>
          <w:lang w:val="en-US"/>
        </w:rPr>
        <w:t>atidumo</w:t>
      </w:r>
      <w:proofErr w:type="spellEnd"/>
    </w:p>
    <w:p w14:paraId="00000006" w14:textId="12484AE9" w:rsidR="004E207A" w:rsidRDefault="004E207A" w:rsidP="3ECBBC8B">
      <w:pPr>
        <w:jc w:val="center"/>
        <w:rPr>
          <w:b/>
          <w:bCs/>
          <w:sz w:val="32"/>
          <w:szCs w:val="32"/>
        </w:rPr>
      </w:pPr>
    </w:p>
    <w:p w14:paraId="00000007" w14:textId="54A9A124" w:rsidR="004E207A" w:rsidRDefault="01B58D49" w:rsidP="3ECBBC8B">
      <w:pPr>
        <w:jc w:val="both"/>
        <w:rPr>
          <w:b/>
          <w:bCs/>
          <w:lang w:val="en-US"/>
        </w:rPr>
      </w:pPr>
      <w:r w:rsidRPr="3ECBBC8B">
        <w:rPr>
          <w:b/>
          <w:bCs/>
          <w:lang w:val="en-US"/>
        </w:rPr>
        <w:t>Trečiąjį šių metų ketvirtį gyventojai ir įmonės Lietuvoje apgaulės būdu neteko beveik 4,</w:t>
      </w:r>
      <w:r w:rsidR="31ECBAA8" w:rsidRPr="3ECBBC8B">
        <w:rPr>
          <w:b/>
          <w:bCs/>
          <w:lang w:val="en-US"/>
        </w:rPr>
        <w:t>6</w:t>
      </w:r>
      <w:r w:rsidRPr="3ECBBC8B">
        <w:rPr>
          <w:b/>
          <w:bCs/>
          <w:lang w:val="en-US"/>
        </w:rPr>
        <w:t xml:space="preserve"> mln. </w:t>
      </w:r>
      <w:proofErr w:type="spellStart"/>
      <w:r w:rsidRPr="3ECBBC8B">
        <w:rPr>
          <w:b/>
          <w:bCs/>
          <w:lang w:val="en-US"/>
        </w:rPr>
        <w:t>eurų</w:t>
      </w:r>
      <w:proofErr w:type="spellEnd"/>
      <w:r w:rsidRPr="3ECBBC8B">
        <w:rPr>
          <w:b/>
          <w:bCs/>
          <w:lang w:val="en-US"/>
        </w:rPr>
        <w:t>. Pinigų plovimo prevencijos kompetencijų centro (Centras) analizė rodo, kad buvo užfiksuota 3,1 tūkst. sukčiavimo atvejų, o sukčiai taikėsi į apie 19 mln. eurų. Dėl finansų įstaigų prevencinių veiksmų pavyko sustabdyti rekordinę sumą – 14,1 mln. eurų. Dar 229 tūkst. eurų grąžinta nukentėjusiesiems.</w:t>
      </w:r>
    </w:p>
    <w:p w14:paraId="00000008" w14:textId="095FA188" w:rsidR="004E207A" w:rsidRPr="003366E1" w:rsidRDefault="00000000" w:rsidP="00C46762">
      <w:pPr>
        <w:jc w:val="both"/>
        <w:rPr>
          <w:highlight w:val="yellow"/>
          <w:lang w:val="en-US"/>
        </w:rPr>
      </w:pPr>
      <w:r>
        <w:br/>
      </w:r>
      <w:r w:rsidR="01B58D49">
        <w:t>Iš viso per 2025 m. pirmuosius tris ketvirčius registruota 10,9 tūkst. sukčiavimo atvejų, o bendra užkardyta žala siekia 3</w:t>
      </w:r>
      <w:r w:rsidR="0605B2F8">
        <w:t>2,7</w:t>
      </w:r>
      <w:r w:rsidR="01B58D49">
        <w:t xml:space="preserve"> mln. </w:t>
      </w:r>
      <w:r w:rsidR="5653FFD2" w:rsidRPr="3ECBBC8B">
        <w:rPr>
          <w:lang w:val="lt-LT"/>
        </w:rPr>
        <w:t>eurų</w:t>
      </w:r>
      <w:r w:rsidR="01B58D49">
        <w:t xml:space="preserve"> – tai daugiau nei dvigubai viršija per visus 2024-uosius metus sustabdytų sukčiavimo sumų bendrą vertę. </w:t>
      </w:r>
    </w:p>
    <w:p w14:paraId="00000009" w14:textId="77777777" w:rsidR="004E207A" w:rsidRDefault="004E207A" w:rsidP="00C46762">
      <w:pPr>
        <w:jc w:val="both"/>
      </w:pPr>
    </w:p>
    <w:p w14:paraId="0000000A" w14:textId="70E22C3F" w:rsidR="004E207A" w:rsidRDefault="01B58D49" w:rsidP="00C46762">
      <w:pPr>
        <w:jc w:val="both"/>
      </w:pPr>
      <w:r w:rsidRPr="3ECBBC8B">
        <w:rPr>
          <w:color w:val="000000" w:themeColor="text1"/>
        </w:rPr>
        <w:t xml:space="preserve">„Per trečiąjį ketvirtį finansų įstaigos apsaugojo rekordinę 14,1 mln. eurų sumą – tai rodo, kad prevencijos sistemos veikia itin efektyviai. Vis dėlto  net geriausios apsaugos sistemos </w:t>
      </w:r>
      <w:r w:rsidR="3D16C862" w:rsidRPr="3ECBBC8B">
        <w:rPr>
          <w:color w:val="000000" w:themeColor="text1"/>
        </w:rPr>
        <w:t>gali neapsaugoti</w:t>
      </w:r>
      <w:r w:rsidRPr="3ECBBC8B">
        <w:rPr>
          <w:color w:val="000000" w:themeColor="text1"/>
        </w:rPr>
        <w:t>, kai žmogus pats, patikėjęs manipuliatoriais, inicijuoja pavedimą ir atskleidžia savo duomenis. Kviečiame būti budriais ir nepasitikėti jokiais skambučiais ar žinutėmis, prašanči</w:t>
      </w:r>
      <w:r>
        <w:t>omis</w:t>
      </w:r>
      <w:r w:rsidRPr="3ECBBC8B">
        <w:rPr>
          <w:color w:val="000000" w:themeColor="text1"/>
        </w:rPr>
        <w:t xml:space="preserve"> atskleisti slaptažodžius, pervesti ar perduoti pinigus</w:t>
      </w:r>
      <w:r w:rsidR="5653FFD2" w:rsidRPr="3ECBBC8B">
        <w:rPr>
          <w:color w:val="000000" w:themeColor="text1"/>
          <w:lang w:val="lt-LT"/>
        </w:rPr>
        <w:t>“</w:t>
      </w:r>
      <w:r w:rsidRPr="3ECBBC8B">
        <w:rPr>
          <w:color w:val="000000" w:themeColor="text1"/>
        </w:rPr>
        <w:t>, – sako Centro vadovė Eglė Lukošienė.</w:t>
      </w:r>
    </w:p>
    <w:p w14:paraId="0000000B" w14:textId="77777777" w:rsidR="004E207A" w:rsidRDefault="004E207A" w:rsidP="00C46762">
      <w:pPr>
        <w:jc w:val="both"/>
      </w:pPr>
    </w:p>
    <w:p w14:paraId="0000000C" w14:textId="77777777" w:rsidR="004E207A" w:rsidRDefault="00000000" w:rsidP="00C46762">
      <w:pPr>
        <w:jc w:val="both"/>
        <w:rPr>
          <w:b/>
        </w:rPr>
      </w:pPr>
      <w:r>
        <w:rPr>
          <w:b/>
        </w:rPr>
        <w:t>Suklastoti laiškai ir SMS sklinda masiškai</w:t>
      </w:r>
    </w:p>
    <w:p w14:paraId="0000000E" w14:textId="1316525A" w:rsidR="004E207A" w:rsidRDefault="00000000" w:rsidP="00C46762">
      <w:pPr>
        <w:jc w:val="both"/>
      </w:pPr>
      <w:r>
        <w:br/>
        <w:t>Per 2025 m. trečiąjį ketvirtį iš viso fiksuoti 3 137 sukčiavimo atvejai. Didžiausią jų dalį sudarė suklastotų SMS ar el. laiškų siuntimas (angl. </w:t>
      </w:r>
      <w:r>
        <w:rPr>
          <w:i/>
        </w:rPr>
        <w:t>phishing</w:t>
      </w:r>
      <w:r>
        <w:t xml:space="preserve">) – 1 049 atvejai. Nors tai 63 proc. mažiau nei antrąjį ketvirtį, šis būdas išlieka masiškiausias. Vien per pastaruosius tris mėnesius </w:t>
      </w:r>
      <w:r>
        <w:rPr>
          <w:i/>
        </w:rPr>
        <w:t>phishing’o</w:t>
      </w:r>
      <w:r>
        <w:t> atakos gyventojams kainavo apie 1,6 mln. eurų.</w:t>
      </w:r>
    </w:p>
    <w:p w14:paraId="0000000F" w14:textId="14DF0D77" w:rsidR="004E207A" w:rsidRDefault="00000000" w:rsidP="3ECBBC8B">
      <w:pPr>
        <w:jc w:val="both"/>
        <w:rPr>
          <w:color w:val="000000" w:themeColor="text1"/>
          <w:lang w:val="en-US"/>
        </w:rPr>
      </w:pPr>
      <w:r>
        <w:br/>
      </w:r>
      <w:r w:rsidR="01B58D49" w:rsidRPr="3ECBBC8B">
        <w:rPr>
          <w:lang w:val="en-US"/>
        </w:rPr>
        <w:t xml:space="preserve">„Dažniausiai fiksuojame </w:t>
      </w:r>
      <w:r w:rsidR="7F3BFCA6" w:rsidRPr="3ECBBC8B">
        <w:rPr>
          <w:i/>
          <w:iCs/>
          <w:lang w:val="en-US"/>
        </w:rPr>
        <w:t>phishing’o –</w:t>
      </w:r>
      <w:r w:rsidR="7F3BFCA6" w:rsidRPr="3ECBBC8B">
        <w:rPr>
          <w:lang w:val="en-US"/>
        </w:rPr>
        <w:t xml:space="preserve"> </w:t>
      </w:r>
      <w:r w:rsidR="01B58D49" w:rsidRPr="3ECBBC8B">
        <w:rPr>
          <w:lang w:val="en-US"/>
        </w:rPr>
        <w:t xml:space="preserve">suklastotų SMS ir el. </w:t>
      </w:r>
      <w:r w:rsidR="604CCA2A" w:rsidRPr="3ECBBC8B">
        <w:rPr>
          <w:lang w:val="en-US"/>
        </w:rPr>
        <w:t>l</w:t>
      </w:r>
      <w:r w:rsidR="01B58D49" w:rsidRPr="3ECBBC8B">
        <w:rPr>
          <w:lang w:val="en-US"/>
        </w:rPr>
        <w:t>aiškų</w:t>
      </w:r>
      <w:r w:rsidR="7F3BFCA6" w:rsidRPr="3ECBBC8B">
        <w:rPr>
          <w:lang w:val="en-US"/>
        </w:rPr>
        <w:t xml:space="preserve"> –</w:t>
      </w:r>
      <w:r w:rsidR="01B58D49" w:rsidRPr="3ECBBC8B">
        <w:rPr>
          <w:lang w:val="en-US"/>
        </w:rPr>
        <w:t xml:space="preserve"> atakas</w:t>
      </w:r>
      <w:r w:rsidR="7F3BFCA6" w:rsidRPr="3ECBBC8B">
        <w:rPr>
          <w:lang w:val="en-US"/>
        </w:rPr>
        <w:t>. J</w:t>
      </w:r>
      <w:r w:rsidR="01B58D49" w:rsidRPr="3ECBBC8B">
        <w:rPr>
          <w:lang w:val="en-US"/>
        </w:rPr>
        <w:t>os plinta dideliais srautais ir atrodo vis įtikinamiau.</w:t>
      </w:r>
      <w:r w:rsidR="7475B959" w:rsidRPr="3ECBBC8B">
        <w:rPr>
          <w:lang w:val="en-US"/>
        </w:rPr>
        <w:t xml:space="preserve"> </w:t>
      </w:r>
      <w:r w:rsidR="6E9B1F0B" w:rsidRPr="3ECBBC8B">
        <w:rPr>
          <w:color w:val="000000" w:themeColor="text1"/>
          <w:lang w:val="en-US"/>
        </w:rPr>
        <w:t xml:space="preserve">Reikšminga sukčiavimo dalis tenka ir tikslinėms schemoms – romantinėms, telefoninėms bei investicinėms, kuriose sukčiai ilgiau palaiko ryšį su auka ir manipuliuoja jos </w:t>
      </w:r>
      <w:proofErr w:type="gramStart"/>
      <w:r w:rsidR="6E9B1F0B" w:rsidRPr="3ECBBC8B">
        <w:rPr>
          <w:color w:val="000000" w:themeColor="text1"/>
          <w:lang w:val="en-US"/>
        </w:rPr>
        <w:t>pasitikėjimu</w:t>
      </w:r>
      <w:r w:rsidR="01B58D49" w:rsidRPr="3ECBBC8B">
        <w:rPr>
          <w:lang w:val="en-US"/>
        </w:rPr>
        <w:t>“</w:t>
      </w:r>
      <w:proofErr w:type="gramEnd"/>
      <w:r w:rsidR="01B58D49" w:rsidRPr="3ECBBC8B">
        <w:rPr>
          <w:lang w:val="en-US"/>
        </w:rPr>
        <w:t>, – sako E. Lukošienė.</w:t>
      </w:r>
    </w:p>
    <w:p w14:paraId="3E0785EA" w14:textId="77777777" w:rsidR="00CF1904" w:rsidRDefault="00CF1904" w:rsidP="00C46762">
      <w:pPr>
        <w:jc w:val="both"/>
      </w:pPr>
    </w:p>
    <w:p w14:paraId="00000011" w14:textId="36B5C3CF" w:rsidR="004E207A" w:rsidRDefault="01B58D49" w:rsidP="3ECBBC8B">
      <w:pPr>
        <w:jc w:val="both"/>
        <w:rPr>
          <w:b/>
          <w:bCs/>
          <w:lang w:val="en-GB"/>
        </w:rPr>
      </w:pPr>
      <w:proofErr w:type="spellStart"/>
      <w:r w:rsidRPr="3ECBBC8B">
        <w:rPr>
          <w:b/>
          <w:bCs/>
          <w:lang w:val="en-GB"/>
        </w:rPr>
        <w:t>Skambutis</w:t>
      </w:r>
      <w:proofErr w:type="spellEnd"/>
      <w:r w:rsidRPr="3ECBBC8B">
        <w:rPr>
          <w:b/>
          <w:bCs/>
          <w:lang w:val="en-GB"/>
        </w:rPr>
        <w:t xml:space="preserve"> </w:t>
      </w:r>
      <w:proofErr w:type="spellStart"/>
      <w:r w:rsidRPr="3ECBBC8B">
        <w:rPr>
          <w:b/>
          <w:bCs/>
          <w:lang w:val="en-GB"/>
        </w:rPr>
        <w:t>vienas</w:t>
      </w:r>
      <w:proofErr w:type="spellEnd"/>
      <w:r w:rsidRPr="3ECBBC8B">
        <w:rPr>
          <w:b/>
          <w:bCs/>
          <w:lang w:val="en-GB"/>
        </w:rPr>
        <w:t xml:space="preserve">, o </w:t>
      </w:r>
      <w:proofErr w:type="spellStart"/>
      <w:r w:rsidRPr="3ECBBC8B">
        <w:rPr>
          <w:b/>
          <w:bCs/>
          <w:lang w:val="en-GB"/>
        </w:rPr>
        <w:t>praradimai</w:t>
      </w:r>
      <w:proofErr w:type="spellEnd"/>
      <w:r w:rsidRPr="3ECBBC8B">
        <w:rPr>
          <w:b/>
          <w:bCs/>
          <w:lang w:val="en-GB"/>
        </w:rPr>
        <w:t xml:space="preserve"> – tūkstantiniai</w:t>
      </w:r>
    </w:p>
    <w:p w14:paraId="00000012" w14:textId="2B4B8F0D" w:rsidR="004E207A" w:rsidRDefault="00000000" w:rsidP="00C46762">
      <w:pPr>
        <w:jc w:val="both"/>
      </w:pPr>
      <w:r>
        <w:br/>
      </w:r>
      <w:r w:rsidR="01B58D49" w:rsidRPr="3ECBBC8B">
        <w:rPr>
          <w:lang w:val="en-US"/>
        </w:rPr>
        <w:t>Telefoninio sukčiavimo atvejų skaičius trečiąjį ketvirtį beveik nekito – jų užregistruota 113, o gyventoj</w:t>
      </w:r>
      <w:r w:rsidR="293DAFAB" w:rsidRPr="3ECBBC8B">
        <w:rPr>
          <w:lang w:val="en-US"/>
        </w:rPr>
        <w:t xml:space="preserve">ai prarado kiek mažiau nei praeitą ketvirtį – </w:t>
      </w:r>
      <w:r w:rsidR="01B58D49" w:rsidRPr="3ECBBC8B">
        <w:rPr>
          <w:lang w:val="en-US"/>
        </w:rPr>
        <w:t xml:space="preserve">684 tūkst. </w:t>
      </w:r>
      <w:proofErr w:type="spellStart"/>
      <w:r w:rsidR="01B58D49" w:rsidRPr="3ECBBC8B">
        <w:rPr>
          <w:lang w:val="en-US"/>
        </w:rPr>
        <w:t>eurų</w:t>
      </w:r>
      <w:proofErr w:type="spellEnd"/>
      <w:r w:rsidR="01B58D49" w:rsidRPr="3ECBBC8B">
        <w:rPr>
          <w:lang w:val="en-US"/>
        </w:rPr>
        <w:t>. Vidutiniškai vienas nukentėjęs prarado apie 6 tūkst. eurų.</w:t>
      </w:r>
    </w:p>
    <w:p w14:paraId="00000013" w14:textId="6AB69850" w:rsidR="004E207A" w:rsidRDefault="00000000" w:rsidP="00C46762">
      <w:pPr>
        <w:jc w:val="both"/>
      </w:pPr>
      <w:r>
        <w:br/>
      </w:r>
      <w:r w:rsidR="01B58D49" w:rsidRPr="3ECBBC8B">
        <w:rPr>
          <w:lang w:val="en-US"/>
        </w:rPr>
        <w:t>Tokio sukčiavimo tipo schemos tampa vis kūrybiškiau surežisuotos – skambučiuose dažnai dalyvauja keli „</w:t>
      </w:r>
      <w:proofErr w:type="gramStart"/>
      <w:r w:rsidR="01B58D49" w:rsidRPr="3ECBBC8B">
        <w:rPr>
          <w:lang w:val="en-US"/>
        </w:rPr>
        <w:t>specialistai“</w:t>
      </w:r>
      <w:proofErr w:type="gramEnd"/>
      <w:r w:rsidR="3F514552" w:rsidRPr="3ECBBC8B">
        <w:rPr>
          <w:lang w:val="en-US"/>
        </w:rPr>
        <w:t>, pasitelkiami ir vaizdo skambučiai</w:t>
      </w:r>
      <w:r w:rsidR="01B58D49" w:rsidRPr="3ECBBC8B">
        <w:rPr>
          <w:lang w:val="en-US"/>
        </w:rPr>
        <w:t>, viena legenda jungiama su kita, skubinama priimti sprendimus, siekiama sukelti stresą.</w:t>
      </w:r>
    </w:p>
    <w:p w14:paraId="00000014" w14:textId="77777777" w:rsidR="004E207A" w:rsidRDefault="00000000" w:rsidP="00C46762">
      <w:pPr>
        <w:jc w:val="both"/>
      </w:pPr>
      <w:r>
        <w:br/>
        <w:t>„Ryškėja ir nauja tendencija – lietuviškai prisistatantys, bet vėliau į rusų kalbą pereinantys skambintojai, siekiantys paveikti platesnį ratą žmonių. Tai išlieka viena pavojingiausių sukčiavimo formų“, – pažymi E. Lukošienė.</w:t>
      </w:r>
    </w:p>
    <w:p w14:paraId="00000015" w14:textId="77777777" w:rsidR="004E207A" w:rsidRDefault="004E207A" w:rsidP="00C46762">
      <w:pPr>
        <w:jc w:val="both"/>
      </w:pPr>
    </w:p>
    <w:p w14:paraId="00000016" w14:textId="77777777" w:rsidR="004E207A" w:rsidRDefault="00000000" w:rsidP="00C46762">
      <w:pPr>
        <w:jc w:val="both"/>
        <w:rPr>
          <w:b/>
        </w:rPr>
      </w:pPr>
      <w:r>
        <w:rPr>
          <w:b/>
        </w:rPr>
        <w:lastRenderedPageBreak/>
        <w:t>Perimti susirašinėjimai įmonėms kainuoja brangiai</w:t>
      </w:r>
    </w:p>
    <w:p w14:paraId="00000017" w14:textId="77777777" w:rsidR="004E207A" w:rsidRDefault="00000000" w:rsidP="00C46762">
      <w:pPr>
        <w:jc w:val="both"/>
      </w:pPr>
      <w:r>
        <w:br/>
        <w:t>El. pašto perėmimo atvejų trečiąjį ketvirtį užfiksuota 21, o bendra žala siekė 169 tūkst. eurų – vidutiniškai po 8 tūkst. eurų vienam incidentui.</w:t>
      </w:r>
    </w:p>
    <w:p w14:paraId="00000018" w14:textId="77777777" w:rsidR="004E207A" w:rsidRDefault="00000000" w:rsidP="3ECBBC8B">
      <w:pPr>
        <w:jc w:val="both"/>
        <w:rPr>
          <w:lang w:val="en-US"/>
        </w:rPr>
      </w:pPr>
      <w:r>
        <w:br/>
      </w:r>
      <w:r w:rsidR="01B58D49" w:rsidRPr="3ECBBC8B">
        <w:rPr>
          <w:lang w:val="en-US"/>
        </w:rPr>
        <w:t xml:space="preserve">„Šis tipas ypač pavojingas verslui. Įsilaužę į realų įmonių susirašinėjimą, sukčiai pakeičia mokėjimo duomenis, todėl net atidūs darbuotojai gali tapti auka. Čia būtina daugiasluoksnė prevencija – ir IT sprendimai, ir vidinės organizacijos </w:t>
      </w:r>
      <w:proofErr w:type="gramStart"/>
      <w:r w:rsidR="01B58D49" w:rsidRPr="3ECBBC8B">
        <w:rPr>
          <w:lang w:val="en-US"/>
        </w:rPr>
        <w:t>taisyklės“</w:t>
      </w:r>
      <w:proofErr w:type="gramEnd"/>
      <w:r w:rsidR="01B58D49" w:rsidRPr="3ECBBC8B">
        <w:rPr>
          <w:lang w:val="en-US"/>
        </w:rPr>
        <w:t xml:space="preserve">, – </w:t>
      </w:r>
      <w:proofErr w:type="spellStart"/>
      <w:r w:rsidR="01B58D49" w:rsidRPr="3ECBBC8B">
        <w:rPr>
          <w:lang w:val="en-US"/>
        </w:rPr>
        <w:t>teigia</w:t>
      </w:r>
      <w:proofErr w:type="spellEnd"/>
      <w:r w:rsidR="01B58D49" w:rsidRPr="3ECBBC8B">
        <w:rPr>
          <w:lang w:val="en-US"/>
        </w:rPr>
        <w:t xml:space="preserve"> Centro </w:t>
      </w:r>
      <w:proofErr w:type="spellStart"/>
      <w:r w:rsidR="01B58D49" w:rsidRPr="3ECBBC8B">
        <w:rPr>
          <w:lang w:val="en-US"/>
        </w:rPr>
        <w:t>vadovė</w:t>
      </w:r>
      <w:proofErr w:type="spellEnd"/>
      <w:r w:rsidR="01B58D49" w:rsidRPr="3ECBBC8B">
        <w:rPr>
          <w:lang w:val="en-US"/>
        </w:rPr>
        <w:t>.</w:t>
      </w:r>
    </w:p>
    <w:p w14:paraId="13533486" w14:textId="73992884" w:rsidR="3ECBBC8B" w:rsidRDefault="3ECBBC8B" w:rsidP="3ECBBC8B">
      <w:pPr>
        <w:jc w:val="both"/>
        <w:rPr>
          <w:lang w:val="en-US"/>
        </w:rPr>
      </w:pPr>
    </w:p>
    <w:p w14:paraId="7C124E80" w14:textId="1478D2C1" w:rsidR="089D44EF" w:rsidRDefault="089D44EF" w:rsidP="003366E1">
      <w:pPr>
        <w:jc w:val="both"/>
        <w:rPr>
          <w:color w:val="000000" w:themeColor="text1"/>
          <w:lang w:val="en-US"/>
        </w:rPr>
      </w:pPr>
      <w:r w:rsidRPr="3ECBBC8B">
        <w:rPr>
          <w:color w:val="000000" w:themeColor="text1"/>
          <w:lang w:val="en-US"/>
        </w:rPr>
        <w:t xml:space="preserve">Tikimasi, kad šios kategorijos nuostoliai ateityje mažės, vis plačiau diegiant </w:t>
      </w:r>
      <w:r w:rsidRPr="3ECBBC8B">
        <w:rPr>
          <w:i/>
          <w:iCs/>
          <w:color w:val="000000" w:themeColor="text1"/>
          <w:lang w:val="en-US"/>
        </w:rPr>
        <w:t>confirmation of payee</w:t>
      </w:r>
      <w:r w:rsidRPr="3ECBBC8B">
        <w:rPr>
          <w:color w:val="000000" w:themeColor="text1"/>
          <w:lang w:val="en-US"/>
        </w:rPr>
        <w:t xml:space="preserve"> (gavėjo patvirtinimo) procedūrą – sprendimą, leidžiantį prieš atliekant pavedimą sutikrinti, ar nurodyti mokėjimo duomenys atitinka gavėjo sąskaitą.</w:t>
      </w:r>
    </w:p>
    <w:p w14:paraId="00000019" w14:textId="77777777" w:rsidR="004E207A" w:rsidRDefault="004E207A" w:rsidP="00C46762">
      <w:pPr>
        <w:jc w:val="both"/>
      </w:pPr>
    </w:p>
    <w:p w14:paraId="0000001A" w14:textId="77777777" w:rsidR="004E207A" w:rsidRDefault="00000000" w:rsidP="00C46762">
      <w:pPr>
        <w:jc w:val="both"/>
        <w:rPr>
          <w:b/>
        </w:rPr>
      </w:pPr>
      <w:r>
        <w:rPr>
          <w:b/>
        </w:rPr>
        <w:t xml:space="preserve">III ketvirčio rezultatai – reikšmingas apsaugotų pinigų šuolis </w:t>
      </w:r>
    </w:p>
    <w:p w14:paraId="0000001B" w14:textId="77777777" w:rsidR="004E207A" w:rsidRDefault="00000000" w:rsidP="00C46762">
      <w:pPr>
        <w:jc w:val="both"/>
      </w:pPr>
      <w:r>
        <w:br/>
        <w:t>Iš viso per 2025 m. I–III ketvirčius, palyginti su tuo pačiu laikotarpiu pernai:</w:t>
      </w:r>
    </w:p>
    <w:p w14:paraId="0000001C" w14:textId="77777777" w:rsidR="004E207A" w:rsidRDefault="00000000" w:rsidP="00C467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Užfiksuoti 10 905 sukčiavimo atvejai (2024 m. – 13 691 per visus metus);</w:t>
      </w:r>
    </w:p>
    <w:p w14:paraId="0000001D" w14:textId="77777777" w:rsidR="004E207A" w:rsidRDefault="00000000" w:rsidP="00C467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Sukčiai bandė išvilioti 47,9 mln. Eur (2024 m. – 35 mln. Eur);</w:t>
      </w:r>
    </w:p>
    <w:p w14:paraId="0000001E" w14:textId="77777777" w:rsidR="004E207A" w:rsidRDefault="00000000" w:rsidP="00C467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Realūs gyventojų praradimai siekia 15,1 mln. Eur (2024 m. – 17,3 mln. Eur); </w:t>
      </w:r>
    </w:p>
    <w:p w14:paraId="0000001F" w14:textId="0D39215E" w:rsidR="004E207A" w:rsidRDefault="00000000" w:rsidP="00C467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Finansų įstaigoms pavyko </w:t>
      </w:r>
      <w:r w:rsidR="00CF1904">
        <w:rPr>
          <w:color w:val="000000"/>
        </w:rPr>
        <w:t>apsaugoti gyventojų turtą, kurio vertė siekia</w:t>
      </w:r>
      <w:r>
        <w:rPr>
          <w:color w:val="000000"/>
        </w:rPr>
        <w:t xml:space="preserve"> 32,</w:t>
      </w:r>
      <w:r w:rsidR="00CF1904">
        <w:rPr>
          <w:color w:val="000000"/>
          <w:lang w:val="en-US"/>
        </w:rPr>
        <w:t>7</w:t>
      </w:r>
      <w:r>
        <w:rPr>
          <w:color w:val="000000"/>
        </w:rPr>
        <w:t xml:space="preserve"> mln. Eur (2024 m. – 17,6 mln. Eur)</w:t>
      </w:r>
      <w:r>
        <w:t>.</w:t>
      </w:r>
    </w:p>
    <w:p w14:paraId="00000021" w14:textId="346250A5" w:rsidR="004E207A" w:rsidRDefault="004E207A" w:rsidP="3ECBBC8B">
      <w:pPr>
        <w:jc w:val="both"/>
      </w:pPr>
    </w:p>
    <w:p w14:paraId="562F243F" w14:textId="77777777" w:rsidR="00C46762" w:rsidRDefault="00000000" w:rsidP="00C46762">
      <w:pPr>
        <w:jc w:val="both"/>
        <w:rPr>
          <w:b/>
          <w:lang w:val="lt-LT"/>
        </w:rPr>
      </w:pPr>
      <w:r>
        <w:rPr>
          <w:b/>
        </w:rPr>
        <w:t>Centro rekomendacijos gyventojams ir įmonėms:</w:t>
      </w:r>
    </w:p>
    <w:p w14:paraId="00000022" w14:textId="698E5BBA" w:rsidR="004E207A" w:rsidRPr="00C46762" w:rsidRDefault="004E207A" w:rsidP="00C46762">
      <w:pPr>
        <w:jc w:val="both"/>
        <w:rPr>
          <w:b/>
          <w:lang w:val="lt-LT"/>
        </w:rPr>
      </w:pPr>
    </w:p>
    <w:p w14:paraId="00000023" w14:textId="77777777" w:rsidR="004E207A" w:rsidRDefault="00000000" w:rsidP="00C467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Atsiliepus ir išgirdus skambutį iš tariamų institucijų, ypač rusų kalba – nutraukti pokalbį;</w:t>
      </w:r>
    </w:p>
    <w:p w14:paraId="643B9E92" w14:textId="244E7521" w:rsidR="00CF1904" w:rsidRDefault="00CF1904" w:rsidP="00C467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Identifikavus internetines svetaines, kuriose sukčiaujama, pranešti www.nksc.lt.</w:t>
      </w:r>
    </w:p>
    <w:p w14:paraId="00000024" w14:textId="77777777" w:rsidR="004E207A" w:rsidRDefault="00000000" w:rsidP="00C467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Neatskleisti el. bankininkystės ar asmens duomenų;</w:t>
      </w:r>
    </w:p>
    <w:p w14:paraId="00000025" w14:textId="77777777" w:rsidR="004E207A" w:rsidRDefault="00000000" w:rsidP="00C467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Atsargiai vertinti investicinius pasiūlymus internete;</w:t>
      </w:r>
    </w:p>
    <w:p w14:paraId="00000026" w14:textId="77777777" w:rsidR="004E207A" w:rsidRDefault="00000000" w:rsidP="00C467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Įmonėse įdiegti mokėjimų tvirtinimo taisyklę „keturių akių principu“ ir dviejų faktorių autentifikavimą;</w:t>
      </w:r>
    </w:p>
    <w:p w14:paraId="00000027" w14:textId="77777777" w:rsidR="004E207A" w:rsidRDefault="00000000" w:rsidP="00C467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Apie įtartinas žinutes pranešti: cert@nksc.lt, 112 arba „Virtualiam patruliui“.</w:t>
      </w:r>
    </w:p>
    <w:p w14:paraId="00000028" w14:textId="77777777" w:rsidR="004E207A" w:rsidRDefault="004E207A"/>
    <w:sectPr w:rsidR="004E207A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E03979F7-AFB8-4AF4-896B-E3E84A437DE9}"/>
    <w:embedBold r:id="rId2" w:fontKey="{08447463-1975-4E94-A400-A49311C9A6FC}"/>
    <w:embedItalic r:id="rId3" w:fontKey="{4ECDD39E-BEB7-4C9C-A3DC-6AB31D5EF185}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embedRegular r:id="rId4" w:fontKey="{6B038F28-115D-40F6-9683-37DEDF209B32}"/>
  </w:font>
  <w:font w:name="Play">
    <w:charset w:val="00"/>
    <w:family w:val="auto"/>
    <w:pitch w:val="default"/>
    <w:embedRegular r:id="rId5" w:fontKey="{8448484A-9E2C-4EDE-9B40-8DCA40DC92F5}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6" w:fontKey="{932EF3F8-FD4A-45E7-88C0-BB768E0A13B1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A4B67"/>
    <w:multiLevelType w:val="multilevel"/>
    <w:tmpl w:val="0CB4A1B2"/>
    <w:lvl w:ilvl="0">
      <w:numFmt w:val="bullet"/>
      <w:lvlText w:val="•"/>
      <w:lvlJc w:val="left"/>
      <w:pPr>
        <w:ind w:left="720" w:hanging="360"/>
      </w:pPr>
      <w:rPr>
        <w:rFonts w:ascii="Aptos" w:eastAsia="Aptos" w:hAnsi="Aptos" w:cs="Apto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8C0F49"/>
    <w:multiLevelType w:val="multilevel"/>
    <w:tmpl w:val="52E46A3C"/>
    <w:lvl w:ilvl="0">
      <w:numFmt w:val="bullet"/>
      <w:lvlText w:val="•"/>
      <w:lvlJc w:val="left"/>
      <w:pPr>
        <w:ind w:left="720" w:hanging="360"/>
      </w:pPr>
      <w:rPr>
        <w:rFonts w:ascii="Aptos" w:eastAsia="Aptos" w:hAnsi="Aptos" w:cs="Apto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10948687">
    <w:abstractNumId w:val="1"/>
  </w:num>
  <w:num w:numId="2" w16cid:durableId="132798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trackRevisions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7A"/>
    <w:rsid w:val="00062EB5"/>
    <w:rsid w:val="001E6577"/>
    <w:rsid w:val="001EBDF0"/>
    <w:rsid w:val="00324635"/>
    <w:rsid w:val="003366E1"/>
    <w:rsid w:val="004E207A"/>
    <w:rsid w:val="00820207"/>
    <w:rsid w:val="00C46762"/>
    <w:rsid w:val="00CF1904"/>
    <w:rsid w:val="00E54328"/>
    <w:rsid w:val="00FB0BC6"/>
    <w:rsid w:val="01B58D49"/>
    <w:rsid w:val="0605B2F8"/>
    <w:rsid w:val="089D44EF"/>
    <w:rsid w:val="0CB736EB"/>
    <w:rsid w:val="1BC80960"/>
    <w:rsid w:val="1C3C8500"/>
    <w:rsid w:val="1DE2234C"/>
    <w:rsid w:val="1FCFF07B"/>
    <w:rsid w:val="22A8CB15"/>
    <w:rsid w:val="293DAFAB"/>
    <w:rsid w:val="2B1EB45C"/>
    <w:rsid w:val="31ECBAA8"/>
    <w:rsid w:val="3C5E5E01"/>
    <w:rsid w:val="3D16C862"/>
    <w:rsid w:val="3E70DE79"/>
    <w:rsid w:val="3ECBBC8B"/>
    <w:rsid w:val="3F514552"/>
    <w:rsid w:val="49089C74"/>
    <w:rsid w:val="49C18D0E"/>
    <w:rsid w:val="500BA0B8"/>
    <w:rsid w:val="512D086F"/>
    <w:rsid w:val="555846A8"/>
    <w:rsid w:val="55CFD285"/>
    <w:rsid w:val="5653FFD2"/>
    <w:rsid w:val="604CCA2A"/>
    <w:rsid w:val="63705CA6"/>
    <w:rsid w:val="6E9B1F0B"/>
    <w:rsid w:val="70EE7DF0"/>
    <w:rsid w:val="7475B959"/>
    <w:rsid w:val="7852F0D7"/>
    <w:rsid w:val="7CEDDFB4"/>
    <w:rsid w:val="7F3BF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D829"/>
  <w15:docId w15:val="{1A4A6960-B5ED-5A46-AE2D-4E09378F2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71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71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71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</w:pPr>
    <w:rPr>
      <w:rFonts w:ascii="Play" w:eastAsia="Play" w:hAnsi="Play" w:cs="Play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771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71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771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71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71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71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71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1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186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2771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2771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71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71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71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71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71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71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718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771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277186"/>
  </w:style>
  <w:style w:type="character" w:styleId="Hyperlink">
    <w:name w:val="Hyperlink"/>
    <w:basedOn w:val="DefaultParagraphFont"/>
    <w:uiPriority w:val="99"/>
    <w:semiHidden/>
    <w:unhideWhenUsed/>
    <w:rsid w:val="00277186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277186"/>
  </w:style>
  <w:style w:type="character" w:customStyle="1" w:styleId="eop">
    <w:name w:val="eop"/>
    <w:basedOn w:val="DefaultParagraphFont"/>
    <w:rsid w:val="00277186"/>
  </w:style>
  <w:style w:type="character" w:styleId="Strong">
    <w:name w:val="Strong"/>
    <w:basedOn w:val="DefaultParagraphFont"/>
    <w:uiPriority w:val="22"/>
    <w:qFormat/>
    <w:rsid w:val="00277186"/>
    <w:rPr>
      <w:b/>
      <w:bCs/>
    </w:rPr>
  </w:style>
  <w:style w:type="character" w:styleId="Emphasis">
    <w:name w:val="Emphasis"/>
    <w:basedOn w:val="DefaultParagraphFont"/>
    <w:uiPriority w:val="20"/>
    <w:qFormat/>
    <w:rsid w:val="00277186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95959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336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ZC4+sdnc3fjp6rwEvO2RU62lEA==">CgMxLjA4AHIhMWN1ckZmUG9iYU9VY3VyS0dzNVpHcXktWWZHWU1zT2NP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2800</Words>
  <Characters>1596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Domantas Katelė</dc:creator>
  <cp:lastModifiedBy>Domantas Katelė</cp:lastModifiedBy>
  <cp:revision>5</cp:revision>
  <dcterms:created xsi:type="dcterms:W3CDTF">2025-11-09T15:59:00Z</dcterms:created>
  <dcterms:modified xsi:type="dcterms:W3CDTF">2025-11-12T07:49:00Z</dcterms:modified>
</cp:coreProperties>
</file>