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EF55F9" w:rsidRDefault="00EF55F9" w:rsidP="5FF9BEA5">
      <w:pPr>
        <w:jc w:val="both"/>
        <w:rPr>
          <w:rFonts w:ascii="Times New Roman" w:eastAsia="Times New Roman" w:hAnsi="Times New Roman" w:cs="Times New Roman"/>
        </w:rPr>
      </w:pPr>
    </w:p>
    <w:p w14:paraId="5A6905F0" w14:textId="4A7713B3" w:rsidR="74472D01" w:rsidRDefault="74472D01" w:rsidP="6D1330C5">
      <w:pPr>
        <w:jc w:val="both"/>
        <w:rPr>
          <w:rFonts w:ascii="Times New Roman" w:eastAsia="Times New Roman" w:hAnsi="Times New Roman" w:cs="Times New Roman"/>
        </w:rPr>
      </w:pPr>
      <w:r w:rsidRPr="6D1330C5">
        <w:rPr>
          <w:rFonts w:ascii="Times New Roman" w:eastAsia="Times New Roman" w:hAnsi="Times New Roman" w:cs="Times New Roman"/>
        </w:rPr>
        <w:t xml:space="preserve">Pranešimas žiniasklaidai </w:t>
      </w:r>
    </w:p>
    <w:p w14:paraId="7A0EC2AE" w14:textId="3937A2C8" w:rsidR="74472D01" w:rsidRDefault="74472D01" w:rsidP="6D1330C5">
      <w:pPr>
        <w:rPr>
          <w:rFonts w:ascii="Times New Roman" w:eastAsia="Times New Roman" w:hAnsi="Times New Roman" w:cs="Times New Roman"/>
        </w:rPr>
      </w:pPr>
      <w:r w:rsidRPr="6D1330C5">
        <w:rPr>
          <w:rFonts w:ascii="Times New Roman" w:eastAsia="Times New Roman" w:hAnsi="Times New Roman" w:cs="Times New Roman"/>
        </w:rPr>
        <w:t xml:space="preserve">2025 m. lapkričio </w:t>
      </w:r>
      <w:r w:rsidR="1E6D251F" w:rsidRPr="6D1330C5">
        <w:rPr>
          <w:rFonts w:ascii="Times New Roman" w:eastAsia="Times New Roman" w:hAnsi="Times New Roman" w:cs="Times New Roman"/>
        </w:rPr>
        <w:t>20</w:t>
      </w:r>
      <w:r w:rsidRPr="6D1330C5">
        <w:rPr>
          <w:rFonts w:ascii="Times New Roman" w:eastAsia="Times New Roman" w:hAnsi="Times New Roman" w:cs="Times New Roman"/>
        </w:rPr>
        <w:t xml:space="preserve"> d.</w:t>
      </w:r>
    </w:p>
    <w:p w14:paraId="5A88B1DC" w14:textId="4A1002CE" w:rsidR="5FF9BEA5" w:rsidRDefault="5FF9BEA5" w:rsidP="6D1330C5">
      <w:pPr>
        <w:jc w:val="both"/>
        <w:rPr>
          <w:rFonts w:ascii="Times New Roman" w:eastAsia="Times New Roman" w:hAnsi="Times New Roman" w:cs="Times New Roman"/>
          <w:b/>
          <w:bCs/>
        </w:rPr>
      </w:pPr>
    </w:p>
    <w:p w14:paraId="115F6883" w14:textId="1D758FC8" w:rsidR="00EF55F9" w:rsidRDefault="5FF9BEA5" w:rsidP="35189FC8">
      <w:pPr>
        <w:jc w:val="both"/>
        <w:rPr>
          <w:rFonts w:ascii="Times New Roman" w:eastAsia="Times New Roman" w:hAnsi="Times New Roman" w:cs="Times New Roman"/>
        </w:rPr>
      </w:pPr>
      <w:r w:rsidRPr="35189FC8">
        <w:rPr>
          <w:rFonts w:ascii="Times New Roman" w:eastAsia="Times New Roman" w:hAnsi="Times New Roman" w:cs="Times New Roman"/>
          <w:b/>
          <w:bCs/>
        </w:rPr>
        <w:t xml:space="preserve">II pensijų pakopa: </w:t>
      </w:r>
      <w:r w:rsidR="75738392" w:rsidRPr="35189FC8">
        <w:rPr>
          <w:rFonts w:ascii="Times New Roman" w:eastAsia="Times New Roman" w:hAnsi="Times New Roman" w:cs="Times New Roman"/>
          <w:b/>
          <w:bCs/>
        </w:rPr>
        <w:t>kaupimo stabdymo kaina – tūkstančiai eurų</w:t>
      </w:r>
    </w:p>
    <w:p w14:paraId="0A37501D" w14:textId="77777777" w:rsidR="00EF55F9" w:rsidRDefault="00EF55F9">
      <w:pPr>
        <w:jc w:val="both"/>
        <w:rPr>
          <w:rFonts w:ascii="Times New Roman" w:eastAsia="Times New Roman" w:hAnsi="Times New Roman" w:cs="Times New Roman"/>
        </w:rPr>
      </w:pPr>
    </w:p>
    <w:p w14:paraId="72799BC6" w14:textId="3F03CCE1" w:rsidR="20FC3308" w:rsidRDefault="20FC3308" w:rsidP="35189FC8">
      <w:pPr>
        <w:jc w:val="both"/>
        <w:rPr>
          <w:rFonts w:ascii="Times New Roman" w:eastAsia="Times New Roman" w:hAnsi="Times New Roman" w:cs="Times New Roman"/>
          <w:b/>
          <w:bCs/>
        </w:rPr>
      </w:pPr>
      <w:r w:rsidRPr="6D1330C5">
        <w:rPr>
          <w:rFonts w:ascii="Times New Roman" w:eastAsia="Times New Roman" w:hAnsi="Times New Roman" w:cs="Times New Roman"/>
          <w:b/>
          <w:bCs/>
        </w:rPr>
        <w:t>2026 metais įsigaliosianti II pensijų pakopos reforma numato įvarius pakeitimus, nulemsiančius</w:t>
      </w:r>
      <w:r w:rsidR="16FB615D" w:rsidRPr="6D1330C5">
        <w:rPr>
          <w:rFonts w:ascii="Times New Roman" w:eastAsia="Times New Roman" w:hAnsi="Times New Roman" w:cs="Times New Roman"/>
          <w:b/>
          <w:bCs/>
        </w:rPr>
        <w:t>,</w:t>
      </w:r>
      <w:r w:rsidRPr="6D1330C5">
        <w:rPr>
          <w:rFonts w:ascii="Times New Roman" w:eastAsia="Times New Roman" w:hAnsi="Times New Roman" w:cs="Times New Roman"/>
          <w:b/>
          <w:bCs/>
        </w:rPr>
        <w:t xml:space="preserve"> kaip gyventojai toliau kaups lėšas savo ateičia</w:t>
      </w:r>
      <w:r w:rsidR="0B8D2478" w:rsidRPr="6D1330C5">
        <w:rPr>
          <w:rFonts w:ascii="Times New Roman" w:eastAsia="Times New Roman" w:hAnsi="Times New Roman" w:cs="Times New Roman"/>
          <w:b/>
          <w:bCs/>
        </w:rPr>
        <w:t xml:space="preserve">i. </w:t>
      </w:r>
      <w:r w:rsidR="2BB592CA" w:rsidRPr="6D1330C5">
        <w:rPr>
          <w:rFonts w:ascii="Times New Roman" w:eastAsia="Times New Roman" w:hAnsi="Times New Roman" w:cs="Times New Roman"/>
          <w:b/>
          <w:bCs/>
        </w:rPr>
        <w:t>S</w:t>
      </w:r>
      <w:r w:rsidR="3FB86663" w:rsidRPr="6D1330C5">
        <w:rPr>
          <w:rFonts w:ascii="Times New Roman" w:eastAsia="Times New Roman" w:hAnsi="Times New Roman" w:cs="Times New Roman"/>
          <w:b/>
          <w:bCs/>
        </w:rPr>
        <w:t>istemingas kaupimas pensijai padeda užsitikrinti stabilesnes pajamas senatvėje, pasitelkiant tiek asmenines įmokas</w:t>
      </w:r>
      <w:r w:rsidR="521AB13B" w:rsidRPr="6D1330C5">
        <w:rPr>
          <w:rFonts w:ascii="Times New Roman" w:eastAsia="Times New Roman" w:hAnsi="Times New Roman" w:cs="Times New Roman"/>
          <w:b/>
          <w:bCs/>
        </w:rPr>
        <w:t>,</w:t>
      </w:r>
      <w:r w:rsidR="3FB86663" w:rsidRPr="6D1330C5">
        <w:rPr>
          <w:rFonts w:ascii="Times New Roman" w:eastAsia="Times New Roman" w:hAnsi="Times New Roman" w:cs="Times New Roman"/>
          <w:b/>
          <w:bCs/>
        </w:rPr>
        <w:t xml:space="preserve"> tiek valstybės paskatą.</w:t>
      </w:r>
      <w:r w:rsidR="57E28AF3" w:rsidRPr="6D1330C5">
        <w:rPr>
          <w:rFonts w:ascii="Times New Roman" w:eastAsia="Times New Roman" w:hAnsi="Times New Roman" w:cs="Times New Roman"/>
          <w:b/>
          <w:bCs/>
        </w:rPr>
        <w:t xml:space="preserve"> </w:t>
      </w:r>
      <w:r w:rsidR="11B67AB2" w:rsidRPr="6D1330C5">
        <w:rPr>
          <w:rFonts w:ascii="Times New Roman" w:eastAsia="Times New Roman" w:hAnsi="Times New Roman" w:cs="Times New Roman"/>
          <w:b/>
          <w:bCs/>
        </w:rPr>
        <w:t>A</w:t>
      </w:r>
      <w:r w:rsidR="57E28AF3" w:rsidRPr="6D1330C5">
        <w:rPr>
          <w:rFonts w:ascii="Times New Roman" w:eastAsia="Times New Roman" w:hAnsi="Times New Roman" w:cs="Times New Roman"/>
          <w:b/>
          <w:bCs/>
        </w:rPr>
        <w:t xml:space="preserve">rtėjant pokyčiams, </w:t>
      </w:r>
      <w:r w:rsidR="4950A64F" w:rsidRPr="6D1330C5">
        <w:rPr>
          <w:rFonts w:ascii="Times New Roman" w:eastAsia="Times New Roman" w:hAnsi="Times New Roman" w:cs="Times New Roman"/>
          <w:b/>
          <w:bCs/>
        </w:rPr>
        <w:t>kai</w:t>
      </w:r>
      <w:r w:rsidR="57E28AF3" w:rsidRPr="6D1330C5">
        <w:rPr>
          <w:rFonts w:ascii="Times New Roman" w:eastAsia="Times New Roman" w:hAnsi="Times New Roman" w:cs="Times New Roman"/>
          <w:b/>
          <w:bCs/>
        </w:rPr>
        <w:t xml:space="preserve"> kurie</w:t>
      </w:r>
      <w:r w:rsidR="479F8B6D" w:rsidRPr="6D1330C5">
        <w:rPr>
          <w:rFonts w:ascii="Times New Roman" w:eastAsia="Times New Roman" w:hAnsi="Times New Roman" w:cs="Times New Roman"/>
          <w:b/>
          <w:bCs/>
        </w:rPr>
        <w:t xml:space="preserve"> svarsto laikinai sustabdyti kaupimą, tačiau ekspertai </w:t>
      </w:r>
      <w:r w:rsidR="2617B644" w:rsidRPr="6D1330C5">
        <w:rPr>
          <w:rFonts w:ascii="Times New Roman" w:eastAsia="Times New Roman" w:hAnsi="Times New Roman" w:cs="Times New Roman"/>
          <w:b/>
          <w:bCs/>
        </w:rPr>
        <w:t>primena</w:t>
      </w:r>
      <w:r w:rsidR="479F8B6D" w:rsidRPr="6D1330C5">
        <w:rPr>
          <w:rFonts w:ascii="Times New Roman" w:eastAsia="Times New Roman" w:hAnsi="Times New Roman" w:cs="Times New Roman"/>
          <w:b/>
          <w:bCs/>
        </w:rPr>
        <w:t xml:space="preserve">, kad net </w:t>
      </w:r>
      <w:r w:rsidR="3ADBCEB9" w:rsidRPr="6D1330C5">
        <w:rPr>
          <w:rFonts w:ascii="Times New Roman" w:eastAsia="Times New Roman" w:hAnsi="Times New Roman" w:cs="Times New Roman"/>
          <w:b/>
          <w:bCs/>
        </w:rPr>
        <w:t>trumpalaikio</w:t>
      </w:r>
      <w:r w:rsidR="479F8B6D" w:rsidRPr="6D1330C5">
        <w:rPr>
          <w:rFonts w:ascii="Times New Roman" w:eastAsia="Times New Roman" w:hAnsi="Times New Roman" w:cs="Times New Roman"/>
          <w:b/>
          <w:bCs/>
        </w:rPr>
        <w:t xml:space="preserve"> </w:t>
      </w:r>
      <w:r w:rsidR="51E064C8" w:rsidRPr="6D1330C5">
        <w:rPr>
          <w:rFonts w:ascii="Times New Roman" w:eastAsia="Times New Roman" w:hAnsi="Times New Roman" w:cs="Times New Roman"/>
          <w:b/>
          <w:bCs/>
        </w:rPr>
        <w:t>stabdymo</w:t>
      </w:r>
      <w:r w:rsidR="479F8B6D" w:rsidRPr="6D1330C5">
        <w:rPr>
          <w:rFonts w:ascii="Times New Roman" w:eastAsia="Times New Roman" w:hAnsi="Times New Roman" w:cs="Times New Roman"/>
          <w:b/>
          <w:bCs/>
        </w:rPr>
        <w:t xml:space="preserve"> kaina </w:t>
      </w:r>
      <w:r w:rsidR="367C3FBD" w:rsidRPr="6D1330C5">
        <w:rPr>
          <w:rFonts w:ascii="Times New Roman" w:eastAsia="Times New Roman" w:hAnsi="Times New Roman" w:cs="Times New Roman"/>
        </w:rPr>
        <w:t xml:space="preserve"> –</w:t>
      </w:r>
      <w:r w:rsidR="479F8B6D" w:rsidRPr="6D1330C5">
        <w:rPr>
          <w:rFonts w:ascii="Times New Roman" w:eastAsia="Times New Roman" w:hAnsi="Times New Roman" w:cs="Times New Roman"/>
          <w:b/>
          <w:bCs/>
        </w:rPr>
        <w:t xml:space="preserve"> tūkstančiai eurų. </w:t>
      </w:r>
    </w:p>
    <w:p w14:paraId="5DAB6C7B" w14:textId="77777777" w:rsidR="00EF55F9" w:rsidRDefault="00EF55F9">
      <w:pPr>
        <w:jc w:val="both"/>
        <w:rPr>
          <w:rFonts w:ascii="Times New Roman" w:eastAsia="Times New Roman" w:hAnsi="Times New Roman" w:cs="Times New Roman"/>
          <w:b/>
          <w:bCs/>
        </w:rPr>
      </w:pPr>
    </w:p>
    <w:p w14:paraId="20BE5034" w14:textId="7E224126" w:rsidR="00EF55F9" w:rsidRDefault="0246B2F2" w:rsidP="6D1330C5">
      <w:pPr>
        <w:jc w:val="both"/>
        <w:rPr>
          <w:rFonts w:ascii="Times New Roman" w:eastAsia="Times New Roman" w:hAnsi="Times New Roman" w:cs="Times New Roman"/>
        </w:rPr>
      </w:pPr>
      <w:r w:rsidRPr="6D1330C5">
        <w:rPr>
          <w:rFonts w:ascii="Times New Roman" w:eastAsia="Times New Roman" w:hAnsi="Times New Roman" w:cs="Times New Roman"/>
        </w:rPr>
        <w:t xml:space="preserve">„Jei jums II pensijų pakopos fonde sukaupta pinigų suma atrodo </w:t>
      </w:r>
      <w:r w:rsidR="1FC98CED" w:rsidRPr="6D1330C5">
        <w:rPr>
          <w:rFonts w:ascii="Times New Roman" w:eastAsia="Times New Roman" w:hAnsi="Times New Roman" w:cs="Times New Roman"/>
        </w:rPr>
        <w:t xml:space="preserve">pakankamai </w:t>
      </w:r>
      <w:r w:rsidRPr="6D1330C5">
        <w:rPr>
          <w:rFonts w:ascii="Times New Roman" w:eastAsia="Times New Roman" w:hAnsi="Times New Roman" w:cs="Times New Roman"/>
        </w:rPr>
        <w:t xml:space="preserve">didelė, mano patarimas būtų </w:t>
      </w:r>
      <w:r w:rsidR="73A53821" w:rsidRPr="6D1330C5">
        <w:rPr>
          <w:rFonts w:ascii="Times New Roman" w:eastAsia="Times New Roman" w:hAnsi="Times New Roman" w:cs="Times New Roman"/>
        </w:rPr>
        <w:t>nepertraukti kaupimo</w:t>
      </w:r>
      <w:r w:rsidRPr="6D1330C5">
        <w:rPr>
          <w:rFonts w:ascii="Times New Roman" w:eastAsia="Times New Roman" w:hAnsi="Times New Roman" w:cs="Times New Roman"/>
        </w:rPr>
        <w:t xml:space="preserve">. </w:t>
      </w:r>
      <w:r w:rsidR="366DEE22" w:rsidRPr="6D1330C5">
        <w:rPr>
          <w:rFonts w:ascii="Times New Roman" w:eastAsia="Times New Roman" w:hAnsi="Times New Roman" w:cs="Times New Roman"/>
        </w:rPr>
        <w:t>Su santaupomis rizikuoti paprastai ryžtasi tik patyrę investuotojai, kurie turi papildomų pasyvių pajamų šaltinių ir gerai išmano investavimo rinką</w:t>
      </w:r>
      <w:r w:rsidRPr="6D1330C5">
        <w:rPr>
          <w:rFonts w:ascii="Times New Roman" w:eastAsia="Times New Roman" w:hAnsi="Times New Roman" w:cs="Times New Roman"/>
        </w:rPr>
        <w:t xml:space="preserve">“, </w:t>
      </w:r>
      <w:r w:rsidR="5D817C2C" w:rsidRPr="6D1330C5">
        <w:rPr>
          <w:rFonts w:ascii="Times New Roman" w:eastAsia="Times New Roman" w:hAnsi="Times New Roman" w:cs="Times New Roman"/>
        </w:rPr>
        <w:t xml:space="preserve"> –</w:t>
      </w:r>
      <w:r w:rsidRPr="6D1330C5">
        <w:rPr>
          <w:rFonts w:ascii="Times New Roman" w:eastAsia="Times New Roman" w:hAnsi="Times New Roman" w:cs="Times New Roman"/>
        </w:rPr>
        <w:t xml:space="preserve"> sako Tadas Gudaitis, Lietuvos investicinių ir pensijų fondų asociacijos (LIPFA) vadovas.</w:t>
      </w:r>
    </w:p>
    <w:p w14:paraId="02EB378F" w14:textId="77777777" w:rsidR="00EF55F9" w:rsidRDefault="00EF55F9">
      <w:pPr>
        <w:jc w:val="both"/>
        <w:rPr>
          <w:rFonts w:ascii="Times New Roman" w:eastAsia="Times New Roman" w:hAnsi="Times New Roman" w:cs="Times New Roman"/>
        </w:rPr>
      </w:pPr>
    </w:p>
    <w:p w14:paraId="05027C86" w14:textId="0AD3C57D" w:rsidR="00EF55F9" w:rsidRDefault="00A41E9E">
      <w:pPr>
        <w:jc w:val="both"/>
        <w:rPr>
          <w:rFonts w:ascii="Times New Roman" w:eastAsia="Times New Roman" w:hAnsi="Times New Roman" w:cs="Times New Roman"/>
        </w:rPr>
      </w:pPr>
      <w:r w:rsidRPr="6D1330C5">
        <w:rPr>
          <w:rFonts w:ascii="Times New Roman" w:eastAsia="Times New Roman" w:hAnsi="Times New Roman" w:cs="Times New Roman"/>
        </w:rPr>
        <w:t xml:space="preserve">Jei II pensijų pakopos lėšos bus jūsų vienintelis pajamų šaltinis šalia „Sodros“ išmokų, </w:t>
      </w:r>
      <w:r w:rsidR="731613AA" w:rsidRPr="6D1330C5">
        <w:rPr>
          <w:rFonts w:ascii="Times New Roman" w:eastAsia="Times New Roman" w:hAnsi="Times New Roman" w:cs="Times New Roman"/>
        </w:rPr>
        <w:t>eksper</w:t>
      </w:r>
      <w:r w:rsidRPr="6D1330C5">
        <w:rPr>
          <w:rFonts w:ascii="Times New Roman" w:eastAsia="Times New Roman" w:hAnsi="Times New Roman" w:cs="Times New Roman"/>
        </w:rPr>
        <w:t>tas pataria labai gerai pagalvoti prieš darant bet koki</w:t>
      </w:r>
      <w:r w:rsidR="2AFCBC11" w:rsidRPr="6D1330C5">
        <w:rPr>
          <w:rFonts w:ascii="Times New Roman" w:eastAsia="Times New Roman" w:hAnsi="Times New Roman" w:cs="Times New Roman"/>
        </w:rPr>
        <w:t>us</w:t>
      </w:r>
      <w:r w:rsidRPr="6D1330C5">
        <w:rPr>
          <w:rFonts w:ascii="Times New Roman" w:eastAsia="Times New Roman" w:hAnsi="Times New Roman" w:cs="Times New Roman"/>
        </w:rPr>
        <w:t xml:space="preserve"> </w:t>
      </w:r>
      <w:r w:rsidR="664DF068" w:rsidRPr="6D1330C5">
        <w:rPr>
          <w:rFonts w:ascii="Times New Roman" w:eastAsia="Times New Roman" w:hAnsi="Times New Roman" w:cs="Times New Roman"/>
        </w:rPr>
        <w:t>pakeitimus</w:t>
      </w:r>
      <w:r w:rsidRPr="6D1330C5">
        <w:rPr>
          <w:rFonts w:ascii="Times New Roman" w:eastAsia="Times New Roman" w:hAnsi="Times New Roman" w:cs="Times New Roman"/>
        </w:rPr>
        <w:t>.</w:t>
      </w:r>
    </w:p>
    <w:p w14:paraId="6A05A809" w14:textId="77777777" w:rsidR="00EF55F9" w:rsidRDefault="00EF55F9">
      <w:pPr>
        <w:jc w:val="both"/>
        <w:rPr>
          <w:rFonts w:ascii="Times New Roman" w:eastAsia="Times New Roman" w:hAnsi="Times New Roman" w:cs="Times New Roman"/>
        </w:rPr>
      </w:pPr>
    </w:p>
    <w:p w14:paraId="0126FB75" w14:textId="04E6E5E4" w:rsidR="00EF55F9" w:rsidRDefault="5FF9BEA5" w:rsidP="6D1330C5">
      <w:pPr>
        <w:jc w:val="both"/>
        <w:rPr>
          <w:rFonts w:ascii="Times New Roman" w:eastAsia="Times New Roman" w:hAnsi="Times New Roman" w:cs="Times New Roman"/>
        </w:rPr>
      </w:pPr>
      <w:r w:rsidRPr="6D1330C5">
        <w:rPr>
          <w:rFonts w:ascii="Times New Roman" w:eastAsia="Times New Roman" w:hAnsi="Times New Roman" w:cs="Times New Roman"/>
        </w:rPr>
        <w:t>Vienas visuomenėje svarstomų variantų – metams ar keliems sustabdyti kaupimą, taip laikinai keliomis dešimtimis ar kiek daugiau eurų pasididinant darbo užmokestį. Klaidingai tikimasi, kad įtaka būsimai pensijai bus beveik nepastebima.</w:t>
      </w:r>
      <w:r w:rsidR="79B3504A" w:rsidRPr="6D1330C5">
        <w:rPr>
          <w:rFonts w:ascii="Times New Roman" w:eastAsia="Times New Roman" w:hAnsi="Times New Roman" w:cs="Times New Roman"/>
        </w:rPr>
        <w:t xml:space="preserve"> </w:t>
      </w:r>
    </w:p>
    <w:p w14:paraId="144542B9" w14:textId="7ECA02D8" w:rsidR="00EF55F9" w:rsidRDefault="00EF55F9" w:rsidP="6D1330C5">
      <w:pPr>
        <w:jc w:val="both"/>
        <w:rPr>
          <w:rFonts w:ascii="Times New Roman" w:eastAsia="Times New Roman" w:hAnsi="Times New Roman" w:cs="Times New Roman"/>
        </w:rPr>
      </w:pPr>
    </w:p>
    <w:p w14:paraId="40A45062" w14:textId="32C4D4F2" w:rsidR="00EF55F9" w:rsidRDefault="5FF9BEA5" w:rsidP="6D1330C5">
      <w:pPr>
        <w:jc w:val="both"/>
        <w:rPr>
          <w:rFonts w:ascii="Times New Roman" w:eastAsia="Times New Roman" w:hAnsi="Times New Roman" w:cs="Times New Roman"/>
        </w:rPr>
      </w:pPr>
      <w:r w:rsidRPr="6D1330C5">
        <w:rPr>
          <w:rFonts w:ascii="Times New Roman" w:eastAsia="Times New Roman" w:hAnsi="Times New Roman" w:cs="Times New Roman"/>
        </w:rPr>
        <w:t>„Investavimo rinkoje labai svarbus veiksnys ne tik investuojama suma, bet ir laikas. Jei metinė investicijų grąža yra 10 proc., tai 100 eurų po metų virs 110 eurų ir toliau augs jau š</w:t>
      </w:r>
      <w:r w:rsidR="6D10BEE6" w:rsidRPr="6D1330C5">
        <w:rPr>
          <w:rFonts w:ascii="Times New Roman" w:eastAsia="Times New Roman" w:hAnsi="Times New Roman" w:cs="Times New Roman"/>
        </w:rPr>
        <w:t>i</w:t>
      </w:r>
      <w:r w:rsidRPr="6D1330C5">
        <w:rPr>
          <w:rFonts w:ascii="Times New Roman" w:eastAsia="Times New Roman" w:hAnsi="Times New Roman" w:cs="Times New Roman"/>
        </w:rPr>
        <w:t xml:space="preserve"> suma. </w:t>
      </w:r>
      <w:r w:rsidR="4D541D9A" w:rsidRPr="6D1330C5">
        <w:rPr>
          <w:rFonts w:ascii="Times New Roman" w:eastAsia="Times New Roman" w:hAnsi="Times New Roman" w:cs="Times New Roman"/>
        </w:rPr>
        <w:t>M</w:t>
      </w:r>
      <w:r w:rsidRPr="6D1330C5">
        <w:rPr>
          <w:rFonts w:ascii="Times New Roman" w:eastAsia="Times New Roman" w:hAnsi="Times New Roman" w:cs="Times New Roman"/>
        </w:rPr>
        <w:t>etams sustabdę kaupimą II pensijų pakopoje</w:t>
      </w:r>
      <w:r w:rsidR="6D193CE6" w:rsidRPr="6D1330C5">
        <w:rPr>
          <w:rFonts w:ascii="Times New Roman" w:eastAsia="Times New Roman" w:hAnsi="Times New Roman" w:cs="Times New Roman"/>
        </w:rPr>
        <w:t>,</w:t>
      </w:r>
      <w:r w:rsidRPr="6D1330C5">
        <w:rPr>
          <w:rFonts w:ascii="Times New Roman" w:eastAsia="Times New Roman" w:hAnsi="Times New Roman" w:cs="Times New Roman"/>
        </w:rPr>
        <w:t xml:space="preserve"> jūs prarasite tūkstančius eurų</w:t>
      </w:r>
      <w:r w:rsidR="30155C07" w:rsidRPr="6D1330C5">
        <w:rPr>
          <w:rFonts w:ascii="Times New Roman" w:eastAsia="Times New Roman" w:hAnsi="Times New Roman" w:cs="Times New Roman"/>
        </w:rPr>
        <w:t xml:space="preserve">. </w:t>
      </w:r>
      <w:r w:rsidR="57C528CD" w:rsidRPr="6D1330C5">
        <w:rPr>
          <w:rFonts w:ascii="Times New Roman" w:eastAsia="Times New Roman" w:hAnsi="Times New Roman" w:cs="Times New Roman"/>
        </w:rPr>
        <w:t>Net ir uždirbdami dvigubą vidutinį atlyginimą, per metus sutaupysite apie 720 eurų, tačiau ši finansinė nauda neatsveria praradimų: sukauptas turtas augs lėčiau, o būsimą pensijos išmoką gausite mažesnę</w:t>
      </w:r>
      <w:r w:rsidRPr="6D1330C5">
        <w:rPr>
          <w:rFonts w:ascii="Times New Roman" w:eastAsia="Times New Roman" w:hAnsi="Times New Roman" w:cs="Times New Roman"/>
        </w:rPr>
        <w:t xml:space="preserve">“, </w:t>
      </w:r>
      <w:r w:rsidR="19CB9151" w:rsidRPr="6D1330C5">
        <w:rPr>
          <w:rFonts w:ascii="Times New Roman" w:eastAsia="Times New Roman" w:hAnsi="Times New Roman" w:cs="Times New Roman"/>
        </w:rPr>
        <w:t xml:space="preserve"> –</w:t>
      </w:r>
      <w:r w:rsidRPr="6D1330C5">
        <w:rPr>
          <w:rFonts w:ascii="Times New Roman" w:eastAsia="Times New Roman" w:hAnsi="Times New Roman" w:cs="Times New Roman"/>
        </w:rPr>
        <w:t xml:space="preserve"> sako T. Gudaitis.</w:t>
      </w:r>
    </w:p>
    <w:p w14:paraId="41C8F396" w14:textId="77777777" w:rsidR="00EF55F9" w:rsidRDefault="00EF55F9">
      <w:pPr>
        <w:jc w:val="both"/>
        <w:rPr>
          <w:rFonts w:ascii="Times New Roman" w:eastAsia="Times New Roman" w:hAnsi="Times New Roman" w:cs="Times New Roman"/>
        </w:rPr>
      </w:pPr>
    </w:p>
    <w:p w14:paraId="4FCF93F1" w14:textId="64BE0E14" w:rsidR="00EF55F9" w:rsidRDefault="5FF9BEA5" w:rsidP="5FF9BEA5">
      <w:pPr>
        <w:jc w:val="both"/>
        <w:rPr>
          <w:rFonts w:ascii="Times New Roman" w:eastAsia="Times New Roman" w:hAnsi="Times New Roman" w:cs="Times New Roman"/>
        </w:rPr>
      </w:pPr>
      <w:r w:rsidRPr="6D1330C5">
        <w:rPr>
          <w:rFonts w:ascii="Times New Roman" w:eastAsia="Times New Roman" w:hAnsi="Times New Roman" w:cs="Times New Roman"/>
        </w:rPr>
        <w:t xml:space="preserve">Pavyzdžiui, 2010 m. II pensijų pakopoje pradėjęs kaupti lėšas 22 metų amžiaus </w:t>
      </w:r>
      <w:r w:rsidR="7BAF2E4B" w:rsidRPr="6D1330C5">
        <w:rPr>
          <w:rFonts w:ascii="Times New Roman" w:eastAsia="Times New Roman" w:hAnsi="Times New Roman" w:cs="Times New Roman"/>
        </w:rPr>
        <w:t>gyventojas</w:t>
      </w:r>
      <w:r w:rsidRPr="6D1330C5">
        <w:rPr>
          <w:rFonts w:ascii="Times New Roman" w:eastAsia="Times New Roman" w:hAnsi="Times New Roman" w:cs="Times New Roman"/>
        </w:rPr>
        <w:t>, jei visuomet uždirbtų vidutinį darbo užmokestį, per 43 metus iki pensijos sukauptų beveik 180 tūkst. eurų. Vos metams sustabdžius šį procesą suma sumažėtų apie 5 tūkst. eurų. Dar vieneri metai kaupimo stabdymo šią sumą augintų daugiau nei dvigubai, priklausomai nuo pasirinkto investicijų rizikos laipsnio.</w:t>
      </w:r>
    </w:p>
    <w:p w14:paraId="72A3D3EC" w14:textId="77777777" w:rsidR="00EF55F9" w:rsidRDefault="00EF55F9">
      <w:pPr>
        <w:jc w:val="both"/>
        <w:rPr>
          <w:rFonts w:ascii="Times New Roman" w:eastAsia="Times New Roman" w:hAnsi="Times New Roman" w:cs="Times New Roman"/>
        </w:rPr>
      </w:pPr>
    </w:p>
    <w:p w14:paraId="17DBF1B2" w14:textId="6AEC62CC" w:rsidR="00EF55F9" w:rsidRDefault="5FF9BEA5" w:rsidP="5FF9BEA5">
      <w:pPr>
        <w:jc w:val="both"/>
        <w:rPr>
          <w:rFonts w:ascii="Times New Roman" w:eastAsia="Times New Roman" w:hAnsi="Times New Roman" w:cs="Times New Roman"/>
        </w:rPr>
      </w:pPr>
      <w:r w:rsidRPr="6D1330C5">
        <w:rPr>
          <w:rFonts w:ascii="Times New Roman" w:eastAsia="Times New Roman" w:hAnsi="Times New Roman" w:cs="Times New Roman"/>
        </w:rPr>
        <w:t>Drastiškiau sumą sumažintų sprendimas kaupimą</w:t>
      </w:r>
      <w:r w:rsidR="44699361" w:rsidRPr="6D1330C5">
        <w:rPr>
          <w:rFonts w:ascii="Times New Roman" w:eastAsia="Times New Roman" w:hAnsi="Times New Roman" w:cs="Times New Roman"/>
        </w:rPr>
        <w:t xml:space="preserve"> stabdyti iki pat pensijos. Nors sukaupta suma toliau būtų investuojama</w:t>
      </w:r>
      <w:r w:rsidR="4666F19B" w:rsidRPr="6D1330C5">
        <w:rPr>
          <w:rFonts w:ascii="Times New Roman" w:eastAsia="Times New Roman" w:hAnsi="Times New Roman" w:cs="Times New Roman"/>
        </w:rPr>
        <w:t>,</w:t>
      </w:r>
      <w:r w:rsidRPr="6D1330C5">
        <w:rPr>
          <w:rFonts w:ascii="Times New Roman" w:eastAsia="Times New Roman" w:hAnsi="Times New Roman" w:cs="Times New Roman"/>
        </w:rPr>
        <w:t xml:space="preserve"> sulaukus pensinio amžiaus II pensijų pakopos fonde būtų sukaupta vos 56 tūkst. eurų. Tai reiškia, kad šalia „Sodros“ pensijos jūs gautumėte</w:t>
      </w:r>
      <w:r w:rsidR="60572CA8" w:rsidRPr="6D1330C5">
        <w:rPr>
          <w:rFonts w:ascii="Times New Roman" w:eastAsia="Times New Roman" w:hAnsi="Times New Roman" w:cs="Times New Roman"/>
        </w:rPr>
        <w:t xml:space="preserve"> tik</w:t>
      </w:r>
      <w:r w:rsidRPr="6D1330C5">
        <w:rPr>
          <w:rFonts w:ascii="Times New Roman" w:eastAsia="Times New Roman" w:hAnsi="Times New Roman" w:cs="Times New Roman"/>
        </w:rPr>
        <w:t xml:space="preserve"> apie trečdalį galimos papildomos sumos.</w:t>
      </w:r>
    </w:p>
    <w:p w14:paraId="0D0B940D" w14:textId="77777777" w:rsidR="00EF55F9" w:rsidRDefault="00EF55F9">
      <w:pPr>
        <w:jc w:val="both"/>
        <w:rPr>
          <w:rFonts w:ascii="Times New Roman" w:eastAsia="Times New Roman" w:hAnsi="Times New Roman" w:cs="Times New Roman"/>
        </w:rPr>
      </w:pPr>
    </w:p>
    <w:p w14:paraId="096B9BE2" w14:textId="79787B49" w:rsidR="00EF55F9" w:rsidRDefault="5FF9BEA5" w:rsidP="6D1330C5">
      <w:pPr>
        <w:jc w:val="both"/>
        <w:rPr>
          <w:rFonts w:ascii="Times New Roman" w:eastAsia="Times New Roman" w:hAnsi="Times New Roman" w:cs="Times New Roman"/>
        </w:rPr>
      </w:pPr>
      <w:r w:rsidRPr="6D1330C5">
        <w:rPr>
          <w:rFonts w:ascii="Times New Roman" w:eastAsia="Times New Roman" w:hAnsi="Times New Roman" w:cs="Times New Roman"/>
        </w:rPr>
        <w:t>„Dabar viešojoje erdvėje sklando daug pasiūlymų</w:t>
      </w:r>
      <w:r w:rsidR="12B74D86" w:rsidRPr="6D1330C5">
        <w:rPr>
          <w:rFonts w:ascii="Times New Roman" w:eastAsia="Times New Roman" w:hAnsi="Times New Roman" w:cs="Times New Roman"/>
        </w:rPr>
        <w:t>,</w:t>
      </w:r>
      <w:r w:rsidRPr="6D1330C5">
        <w:rPr>
          <w:rFonts w:ascii="Times New Roman" w:eastAsia="Times New Roman" w:hAnsi="Times New Roman" w:cs="Times New Roman"/>
        </w:rPr>
        <w:t xml:space="preserve"> kaip geriau investuoti II pensijų pakopai atidedamas lėšas. Dažnai pateikiant skaičiavimus nutylima, kad II pensijų pakopoje prie jūsų mokamos sumos dar prisideda ir valstybė. </w:t>
      </w:r>
      <w:r w:rsidR="0E78C1F7" w:rsidRPr="6D1330C5">
        <w:rPr>
          <w:rFonts w:ascii="Times New Roman" w:eastAsia="Times New Roman" w:hAnsi="Times New Roman" w:cs="Times New Roman"/>
        </w:rPr>
        <w:t xml:space="preserve">Kad pasirinktas kitas investavimo kelias atneštų daugiau </w:t>
      </w:r>
      <w:r w:rsidR="210389BA" w:rsidRPr="6D1330C5">
        <w:rPr>
          <w:rFonts w:ascii="Times New Roman" w:eastAsia="Times New Roman" w:hAnsi="Times New Roman" w:cs="Times New Roman"/>
        </w:rPr>
        <w:t xml:space="preserve">finansinės naudos, </w:t>
      </w:r>
      <w:r w:rsidR="0E78C1F7" w:rsidRPr="6D1330C5">
        <w:rPr>
          <w:rFonts w:ascii="Times New Roman" w:eastAsia="Times New Roman" w:hAnsi="Times New Roman" w:cs="Times New Roman"/>
        </w:rPr>
        <w:t>nei II pakopos pensijų fondai, ji</w:t>
      </w:r>
      <w:r w:rsidR="2D4BA3F8" w:rsidRPr="6D1330C5">
        <w:rPr>
          <w:rFonts w:ascii="Times New Roman" w:eastAsia="Times New Roman" w:hAnsi="Times New Roman" w:cs="Times New Roman"/>
        </w:rPr>
        <w:t>s</w:t>
      </w:r>
      <w:r w:rsidR="0E78C1F7" w:rsidRPr="6D1330C5">
        <w:rPr>
          <w:rFonts w:ascii="Times New Roman" w:eastAsia="Times New Roman" w:hAnsi="Times New Roman" w:cs="Times New Roman"/>
        </w:rPr>
        <w:t xml:space="preserve"> turėtų būti labai rizikinga</w:t>
      </w:r>
      <w:r w:rsidR="0EB1CF3E" w:rsidRPr="6D1330C5">
        <w:rPr>
          <w:rFonts w:ascii="Times New Roman" w:eastAsia="Times New Roman" w:hAnsi="Times New Roman" w:cs="Times New Roman"/>
        </w:rPr>
        <w:t>s</w:t>
      </w:r>
      <w:r w:rsidR="0E78C1F7" w:rsidRPr="6D1330C5">
        <w:rPr>
          <w:rFonts w:ascii="Times New Roman" w:eastAsia="Times New Roman" w:hAnsi="Times New Roman" w:cs="Times New Roman"/>
        </w:rPr>
        <w:t xml:space="preserve">. O didesnė rizika visada reiškia ir didesnę tikimybę, kad pinigų suma ne padidės, o sumažės. </w:t>
      </w:r>
      <w:r w:rsidRPr="6D1330C5">
        <w:rPr>
          <w:rFonts w:ascii="Times New Roman" w:eastAsia="Times New Roman" w:hAnsi="Times New Roman" w:cs="Times New Roman"/>
        </w:rPr>
        <w:t xml:space="preserve"> Neturint didelės investavimo patirties, nemokant naudoti sudėtingų investavimo strategijų, vargu ar rinkoje rasite patrauklesnį investavimo modelį, nei II pensijų pakopa“, </w:t>
      </w:r>
      <w:r w:rsidR="233C39B5" w:rsidRPr="6D1330C5">
        <w:rPr>
          <w:rFonts w:ascii="Times New Roman" w:eastAsia="Times New Roman" w:hAnsi="Times New Roman" w:cs="Times New Roman"/>
        </w:rPr>
        <w:t xml:space="preserve">– </w:t>
      </w:r>
      <w:r w:rsidRPr="6D1330C5">
        <w:rPr>
          <w:rFonts w:ascii="Times New Roman" w:eastAsia="Times New Roman" w:hAnsi="Times New Roman" w:cs="Times New Roman"/>
        </w:rPr>
        <w:t xml:space="preserve"> įsitikinęs T. Gudaitis.</w:t>
      </w:r>
    </w:p>
    <w:p w14:paraId="0E27B00A" w14:textId="77777777" w:rsidR="00EF55F9" w:rsidRDefault="00EF55F9">
      <w:pPr>
        <w:jc w:val="both"/>
        <w:rPr>
          <w:rFonts w:ascii="Times New Roman" w:eastAsia="Times New Roman" w:hAnsi="Times New Roman" w:cs="Times New Roman"/>
        </w:rPr>
      </w:pPr>
    </w:p>
    <w:p w14:paraId="46A2AEC3" w14:textId="77777777" w:rsidR="00EF55F9" w:rsidRDefault="5FF9BEA5" w:rsidP="5FF9BEA5">
      <w:pPr>
        <w:pStyle w:val="BodyText"/>
        <w:jc w:val="both"/>
        <w:rPr>
          <w:rFonts w:ascii="Times New Roman" w:eastAsia="Times New Roman" w:hAnsi="Times New Roman" w:cs="Times New Roman"/>
        </w:rPr>
      </w:pPr>
      <w:r w:rsidRPr="6D1330C5">
        <w:rPr>
          <w:rFonts w:ascii="Times New Roman" w:eastAsia="Times New Roman" w:hAnsi="Times New Roman" w:cs="Times New Roman"/>
        </w:rPr>
        <w:lastRenderedPageBreak/>
        <w:t xml:space="preserve">LIPFA užsakymu atlikta kompanijos „Spinter tyrimai“ apklausa parodė, kad 36 proc. II pensijų pakopoje kaupiančių papildomą senatvės pensiją tvirtai apsisprendę nieko nekeisti, o 20 proc. dar nėra priėmę sprendimo ką darys. </w:t>
      </w:r>
    </w:p>
    <w:p w14:paraId="7B66BA8A" w14:textId="77777777" w:rsidR="00EF55F9" w:rsidRDefault="5FF9BEA5" w:rsidP="5FF9BEA5">
      <w:pPr>
        <w:pStyle w:val="BodyText"/>
        <w:jc w:val="both"/>
        <w:rPr>
          <w:rFonts w:ascii="Times New Roman" w:eastAsia="Times New Roman" w:hAnsi="Times New Roman" w:cs="Times New Roman"/>
        </w:rPr>
      </w:pPr>
      <w:r w:rsidRPr="6D1330C5">
        <w:rPr>
          <w:rFonts w:ascii="Times New Roman" w:eastAsia="Times New Roman" w:hAnsi="Times New Roman" w:cs="Times New Roman"/>
        </w:rPr>
        <w:t>Apklausos duomenimis, svarbiausia priežastis, dėl kurios žmonės nusprendę tęsti kaupimą II pakopoje, yra patogumas. Net 55 proc. respondentų pabrėžė, jog labiausiai juos motyvuoja tai, kad lėšos būsimai pensijai auga automatiškai, nereikalaujant jokio papildomo įsitraukimo ar sudėtingų sprendimų. </w:t>
      </w:r>
    </w:p>
    <w:p w14:paraId="1EECE555" w14:textId="3CC433D3" w:rsidR="00EF55F9" w:rsidRDefault="00EF55F9" w:rsidP="6D1330C5">
      <w:pPr>
        <w:pStyle w:val="BodyText"/>
        <w:jc w:val="both"/>
        <w:rPr>
          <w:rFonts w:ascii="Times New Roman" w:eastAsia="Times New Roman" w:hAnsi="Times New Roman" w:cs="Times New Roman"/>
        </w:rPr>
      </w:pPr>
    </w:p>
    <w:p w14:paraId="39DF4E2F" w14:textId="664EFAE1" w:rsidR="00EF55F9" w:rsidRDefault="1DA07890" w:rsidP="6D1330C5">
      <w:pPr>
        <w:shd w:val="clear" w:color="auto" w:fill="FFFFFF" w:themeFill="background1"/>
        <w:spacing w:after="360"/>
        <w:jc w:val="both"/>
        <w:rPr>
          <w:rFonts w:ascii="Times New Roman" w:eastAsia="Times New Roman" w:hAnsi="Times New Roman" w:cs="Times New Roman"/>
          <w:b/>
          <w:bCs/>
          <w:sz w:val="20"/>
          <w:szCs w:val="20"/>
        </w:rPr>
      </w:pPr>
      <w:r w:rsidRPr="6D1330C5">
        <w:rPr>
          <w:rFonts w:ascii="Times New Roman" w:eastAsia="Times New Roman" w:hAnsi="Times New Roman" w:cs="Times New Roman"/>
          <w:b/>
          <w:bCs/>
          <w:sz w:val="20"/>
          <w:szCs w:val="20"/>
        </w:rPr>
        <w:t>Apie LIPFA</w:t>
      </w:r>
    </w:p>
    <w:p w14:paraId="4D035171" w14:textId="741E9BAA" w:rsidR="00EF55F9" w:rsidRDefault="1DA07890" w:rsidP="6D1330C5">
      <w:pPr>
        <w:shd w:val="clear" w:color="auto" w:fill="FFFFFF" w:themeFill="background1"/>
        <w:spacing w:after="360"/>
        <w:jc w:val="both"/>
        <w:rPr>
          <w:rFonts w:ascii="Times New Roman" w:eastAsia="Times New Roman" w:hAnsi="Times New Roman" w:cs="Times New Roman"/>
          <w:sz w:val="20"/>
          <w:szCs w:val="20"/>
        </w:rPr>
      </w:pPr>
      <w:r w:rsidRPr="6D1330C5">
        <w:rPr>
          <w:rFonts w:ascii="Times New Roman" w:eastAsia="Times New Roman" w:hAnsi="Times New Roman" w:cs="Times New Roman"/>
          <w:sz w:val="20"/>
          <w:szCs w:val="20"/>
        </w:rPr>
        <w:t>Lietuvos investicinių ir pensijų fondų asociacija (LIPFA) įkurta 2003 m. ir vienija Lietuvos investicijų valdymo bendroves bei komercinių bankų padalinius, užsiimančius investicine veikla. Siekdama ilgalaikio finansinio tvarumo ir stabilumo mūsų šalies pensijų sistemoje, LIPFA nuolat stebi Lietuvos pensijų fondų rezultatus, teikia analizę bei rekomendacijas investavimo politikos klausimais. 2025 m. III ketvirčio duomenimis, Lietuvos pensijų fonduose savo pensijai papildomai kaupė daugiau nei 1,4 mln. gyventojų. Bendras jų antroje pakopoje sukauptas turtas viršijo 10 mlrd. eurų, dar 482 mln. sukaupta trečioje pakopoje.</w:t>
      </w:r>
    </w:p>
    <w:p w14:paraId="60061E4C" w14:textId="5C843E2C" w:rsidR="00EF55F9" w:rsidRDefault="00EF55F9">
      <w:pPr>
        <w:jc w:val="both"/>
        <w:rPr>
          <w:rFonts w:ascii="Times New Roman" w:eastAsia="Times New Roman" w:hAnsi="Times New Roman" w:cs="Times New Roman"/>
        </w:rPr>
      </w:pPr>
    </w:p>
    <w:p w14:paraId="44EAFD9C" w14:textId="77777777" w:rsidR="00EF55F9" w:rsidRDefault="00EF55F9">
      <w:pPr>
        <w:jc w:val="both"/>
        <w:rPr>
          <w:rFonts w:ascii="Times New Roman" w:eastAsia="Times New Roman" w:hAnsi="Times New Roman" w:cs="Times New Roman"/>
        </w:rPr>
      </w:pPr>
    </w:p>
    <w:p w14:paraId="7FEED1B5" w14:textId="20213B06" w:rsidR="00EF55F9" w:rsidRDefault="00EF55F9" w:rsidP="6D1330C5">
      <w:pPr>
        <w:jc w:val="both"/>
        <w:rPr>
          <w:rFonts w:ascii="Times New Roman" w:eastAsia="Times New Roman" w:hAnsi="Times New Roman" w:cs="Times New Roman"/>
        </w:rPr>
      </w:pPr>
    </w:p>
    <w:p w14:paraId="3656B9AB" w14:textId="77777777" w:rsidR="00EF55F9" w:rsidRDefault="00EF55F9">
      <w:pPr>
        <w:jc w:val="both"/>
        <w:rPr>
          <w:rFonts w:ascii="Times New Roman" w:eastAsia="Times New Roman" w:hAnsi="Times New Roman" w:cs="Times New Roman"/>
        </w:rPr>
      </w:pPr>
    </w:p>
    <w:p w14:paraId="45FB0818" w14:textId="2A3DE87A" w:rsidR="00EF55F9" w:rsidRDefault="00EF55F9" w:rsidP="6D1330C5">
      <w:pPr>
        <w:jc w:val="both"/>
        <w:rPr>
          <w:rFonts w:ascii="Times New Roman" w:eastAsia="Times New Roman" w:hAnsi="Times New Roman" w:cs="Times New Roman"/>
        </w:rPr>
      </w:pPr>
    </w:p>
    <w:p w14:paraId="53128261" w14:textId="7A884D81" w:rsidR="00EF55F9" w:rsidRDefault="00EF55F9" w:rsidP="6D1330C5">
      <w:pPr>
        <w:pStyle w:val="BodyText"/>
        <w:spacing w:after="0"/>
        <w:jc w:val="both"/>
        <w:rPr>
          <w:rFonts w:ascii="Times New Roman" w:eastAsia="Times New Roman" w:hAnsi="Times New Roman" w:cs="Times New Roman"/>
        </w:rPr>
      </w:pPr>
    </w:p>
    <w:sectPr w:rsidR="00EF55F9">
      <w:headerReference w:type="default" r:id="rId6"/>
      <w:footerReference w:type="default" r:id="rId7"/>
      <w:pgSz w:w="11906" w:h="16838"/>
      <w:pgMar w:top="1134" w:right="1134" w:bottom="1134" w:left="1134"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0A4EC" w14:textId="77777777" w:rsidR="00A41E9E" w:rsidRDefault="00A41E9E">
      <w:pPr>
        <w:rPr>
          <w:rFonts w:hint="eastAsia"/>
        </w:rPr>
      </w:pPr>
      <w:r>
        <w:separator/>
      </w:r>
    </w:p>
  </w:endnote>
  <w:endnote w:type="continuationSeparator" w:id="0">
    <w:p w14:paraId="1D6ADA74" w14:textId="77777777" w:rsidR="00A41E9E" w:rsidRDefault="00A41E9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tblLayout w:type="fixed"/>
      <w:tblLook w:val="06A0" w:firstRow="1" w:lastRow="0" w:firstColumn="1" w:lastColumn="0" w:noHBand="1" w:noVBand="1"/>
    </w:tblPr>
    <w:tblGrid>
      <w:gridCol w:w="3210"/>
      <w:gridCol w:w="3210"/>
      <w:gridCol w:w="3210"/>
    </w:tblGrid>
    <w:tr w:rsidR="00EF55F9" w14:paraId="34CE0A41" w14:textId="77777777">
      <w:trPr>
        <w:trHeight w:val="300"/>
      </w:trPr>
      <w:tc>
        <w:tcPr>
          <w:tcW w:w="3210" w:type="dxa"/>
        </w:tcPr>
        <w:p w14:paraId="62EBF3C5" w14:textId="77777777" w:rsidR="00EF55F9" w:rsidRDefault="00EF55F9">
          <w:pPr>
            <w:pStyle w:val="Header"/>
            <w:widowControl w:val="0"/>
            <w:ind w:left="-115"/>
            <w:rPr>
              <w:rFonts w:hint="eastAsia"/>
            </w:rPr>
          </w:pPr>
        </w:p>
      </w:tc>
      <w:tc>
        <w:tcPr>
          <w:tcW w:w="3210" w:type="dxa"/>
        </w:tcPr>
        <w:p w14:paraId="6D98A12B" w14:textId="77777777" w:rsidR="00EF55F9" w:rsidRDefault="00EF55F9">
          <w:pPr>
            <w:pStyle w:val="Header"/>
            <w:widowControl w:val="0"/>
            <w:jc w:val="center"/>
            <w:rPr>
              <w:rFonts w:hint="eastAsia"/>
            </w:rPr>
          </w:pPr>
        </w:p>
      </w:tc>
      <w:tc>
        <w:tcPr>
          <w:tcW w:w="3210" w:type="dxa"/>
        </w:tcPr>
        <w:p w14:paraId="2946DB82" w14:textId="77777777" w:rsidR="00EF55F9" w:rsidRDefault="00EF55F9">
          <w:pPr>
            <w:pStyle w:val="Header"/>
            <w:widowControl w:val="0"/>
            <w:ind w:right="-115"/>
            <w:jc w:val="right"/>
            <w:rPr>
              <w:rFonts w:hint="eastAsia"/>
            </w:rPr>
          </w:pPr>
        </w:p>
      </w:tc>
    </w:tr>
  </w:tbl>
  <w:p w14:paraId="5997CC1D" w14:textId="77777777" w:rsidR="00EF55F9" w:rsidRDefault="00EF55F9">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70DA5" w14:textId="77777777" w:rsidR="00A41E9E" w:rsidRDefault="00A41E9E">
      <w:pPr>
        <w:rPr>
          <w:rFonts w:hint="eastAsia"/>
        </w:rPr>
      </w:pPr>
      <w:r>
        <w:separator/>
      </w:r>
    </w:p>
  </w:footnote>
  <w:footnote w:type="continuationSeparator" w:id="0">
    <w:p w14:paraId="10FF6646" w14:textId="77777777" w:rsidR="00A41E9E" w:rsidRDefault="00A41E9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BEF00" w14:textId="77777777" w:rsidR="00EF55F9" w:rsidRDefault="00EF55F9">
    <w:pPr>
      <w:rPr>
        <w:rFonts w:hint="eastAsia"/>
      </w:rPr>
    </w:pPr>
  </w:p>
  <w:tbl>
    <w:tblPr>
      <w:tblW w:w="9630" w:type="dxa"/>
      <w:tblLayout w:type="fixed"/>
      <w:tblLook w:val="06A0" w:firstRow="1" w:lastRow="0" w:firstColumn="1" w:lastColumn="0" w:noHBand="1" w:noVBand="1"/>
    </w:tblPr>
    <w:tblGrid>
      <w:gridCol w:w="3210"/>
      <w:gridCol w:w="3210"/>
      <w:gridCol w:w="3210"/>
    </w:tblGrid>
    <w:tr w:rsidR="00EF55F9" w14:paraId="3461D779" w14:textId="77777777">
      <w:trPr>
        <w:trHeight w:val="300"/>
      </w:trPr>
      <w:tc>
        <w:tcPr>
          <w:tcW w:w="3210" w:type="dxa"/>
        </w:tcPr>
        <w:p w14:paraId="3CF2D8B6" w14:textId="77777777" w:rsidR="00EF55F9" w:rsidRDefault="00EF55F9">
          <w:pPr>
            <w:pStyle w:val="Header"/>
            <w:widowControl w:val="0"/>
            <w:ind w:left="-115"/>
            <w:rPr>
              <w:rFonts w:hint="eastAsia"/>
            </w:rPr>
          </w:pPr>
        </w:p>
      </w:tc>
      <w:tc>
        <w:tcPr>
          <w:tcW w:w="3210" w:type="dxa"/>
        </w:tcPr>
        <w:p w14:paraId="0FB78278" w14:textId="77777777" w:rsidR="00EF55F9" w:rsidRDefault="00EF55F9">
          <w:pPr>
            <w:pStyle w:val="Header"/>
            <w:widowControl w:val="0"/>
            <w:jc w:val="center"/>
            <w:rPr>
              <w:rFonts w:hint="eastAsia"/>
            </w:rPr>
          </w:pPr>
        </w:p>
      </w:tc>
      <w:tc>
        <w:tcPr>
          <w:tcW w:w="3210" w:type="dxa"/>
        </w:tcPr>
        <w:p w14:paraId="1FC39945" w14:textId="77777777" w:rsidR="00EF55F9" w:rsidRDefault="00A41E9E">
          <w:pPr>
            <w:pStyle w:val="Header"/>
            <w:widowControl w:val="0"/>
            <w:ind w:right="-115"/>
            <w:jc w:val="right"/>
            <w:rPr>
              <w:rFonts w:hint="eastAsia"/>
            </w:rPr>
          </w:pPr>
          <w:r>
            <w:rPr>
              <w:noProof/>
            </w:rPr>
            <w:drawing>
              <wp:inline distT="0" distB="0" distL="0" distR="0" wp14:anchorId="0BCD3085" wp14:editId="07777777">
                <wp:extent cx="1771650" cy="571500"/>
                <wp:effectExtent l="0" t="0" r="0" b="0"/>
                <wp:docPr id="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pic:cNvPicPr>
                          <a:picLocks noChangeAspect="1" noChangeArrowheads="1"/>
                        </pic:cNvPicPr>
                      </pic:nvPicPr>
                      <pic:blipFill>
                        <a:blip r:embed="rId1"/>
                        <a:stretch>
                          <a:fillRect/>
                        </a:stretch>
                      </pic:blipFill>
                      <pic:spPr bwMode="auto">
                        <a:xfrm>
                          <a:off x="0" y="0"/>
                          <a:ext cx="1771650" cy="571500"/>
                        </a:xfrm>
                        <a:prstGeom prst="rect">
                          <a:avLst/>
                        </a:prstGeom>
                      </pic:spPr>
                    </pic:pic>
                  </a:graphicData>
                </a:graphic>
              </wp:inline>
            </w:drawing>
          </w:r>
        </w:p>
      </w:tc>
    </w:tr>
  </w:tbl>
  <w:p w14:paraId="0562CB0E" w14:textId="77777777" w:rsidR="00EF55F9" w:rsidRDefault="00EF55F9">
    <w:pPr>
      <w:pStyle w:val="Head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46B2F2"/>
    <w:rsid w:val="0001C23D"/>
    <w:rsid w:val="000D076B"/>
    <w:rsid w:val="005A22EF"/>
    <w:rsid w:val="006344E2"/>
    <w:rsid w:val="007C3594"/>
    <w:rsid w:val="007C47E6"/>
    <w:rsid w:val="007E7EEF"/>
    <w:rsid w:val="00A16DA7"/>
    <w:rsid w:val="00A41E9E"/>
    <w:rsid w:val="00C874DF"/>
    <w:rsid w:val="00EF55F9"/>
    <w:rsid w:val="00F74F61"/>
    <w:rsid w:val="0246B2F2"/>
    <w:rsid w:val="04EA8B83"/>
    <w:rsid w:val="09122F8E"/>
    <w:rsid w:val="0B8D2478"/>
    <w:rsid w:val="0E78C1F7"/>
    <w:rsid w:val="0EB1CF3E"/>
    <w:rsid w:val="10FACDAC"/>
    <w:rsid w:val="119C0BED"/>
    <w:rsid w:val="11B67AB2"/>
    <w:rsid w:val="12B74D86"/>
    <w:rsid w:val="12FDDA13"/>
    <w:rsid w:val="13851F4D"/>
    <w:rsid w:val="14BCCEB8"/>
    <w:rsid w:val="16FB615D"/>
    <w:rsid w:val="18305261"/>
    <w:rsid w:val="19CB9151"/>
    <w:rsid w:val="1CD6C77A"/>
    <w:rsid w:val="1DA07890"/>
    <w:rsid w:val="1E6D251F"/>
    <w:rsid w:val="1F1D3AAC"/>
    <w:rsid w:val="1F519402"/>
    <w:rsid w:val="1FC98CED"/>
    <w:rsid w:val="20FC3308"/>
    <w:rsid w:val="210389BA"/>
    <w:rsid w:val="2143E8C3"/>
    <w:rsid w:val="2166A0CE"/>
    <w:rsid w:val="233C39B5"/>
    <w:rsid w:val="251E5C45"/>
    <w:rsid w:val="25C44ACE"/>
    <w:rsid w:val="25D37EFA"/>
    <w:rsid w:val="2617B644"/>
    <w:rsid w:val="27BEF609"/>
    <w:rsid w:val="285851EC"/>
    <w:rsid w:val="2AD1E5C8"/>
    <w:rsid w:val="2AFCBC11"/>
    <w:rsid w:val="2B16DFC4"/>
    <w:rsid w:val="2BB592CA"/>
    <w:rsid w:val="2C11A43E"/>
    <w:rsid w:val="2C136EFF"/>
    <w:rsid w:val="2D4BA3F8"/>
    <w:rsid w:val="2F7AC7E0"/>
    <w:rsid w:val="30155C07"/>
    <w:rsid w:val="35189FC8"/>
    <w:rsid w:val="35733A01"/>
    <w:rsid w:val="366DEE22"/>
    <w:rsid w:val="367C3FBD"/>
    <w:rsid w:val="3ADBCEB9"/>
    <w:rsid w:val="3BA778F7"/>
    <w:rsid w:val="3FB86663"/>
    <w:rsid w:val="43F27808"/>
    <w:rsid w:val="44699361"/>
    <w:rsid w:val="4666F19B"/>
    <w:rsid w:val="479F8B6D"/>
    <w:rsid w:val="492F20E8"/>
    <w:rsid w:val="4950A64F"/>
    <w:rsid w:val="4BCDD57A"/>
    <w:rsid w:val="4D541D9A"/>
    <w:rsid w:val="4DAD3299"/>
    <w:rsid w:val="51E064C8"/>
    <w:rsid w:val="521AB13B"/>
    <w:rsid w:val="54D18A7A"/>
    <w:rsid w:val="5529DD67"/>
    <w:rsid w:val="5662ADEC"/>
    <w:rsid w:val="57C528CD"/>
    <w:rsid w:val="57E28AF3"/>
    <w:rsid w:val="5ABF25B6"/>
    <w:rsid w:val="5D817C2C"/>
    <w:rsid w:val="5F4878E8"/>
    <w:rsid w:val="5FF9BEA5"/>
    <w:rsid w:val="601834AE"/>
    <w:rsid w:val="60572CA8"/>
    <w:rsid w:val="664DF068"/>
    <w:rsid w:val="6834566B"/>
    <w:rsid w:val="6AE054F5"/>
    <w:rsid w:val="6B972B06"/>
    <w:rsid w:val="6BCBFDC3"/>
    <w:rsid w:val="6CF70440"/>
    <w:rsid w:val="6D10BEE6"/>
    <w:rsid w:val="6D1330C5"/>
    <w:rsid w:val="6D193CE6"/>
    <w:rsid w:val="6DA60EF2"/>
    <w:rsid w:val="70DB0330"/>
    <w:rsid w:val="719D2713"/>
    <w:rsid w:val="731613AA"/>
    <w:rsid w:val="73A53821"/>
    <w:rsid w:val="73E3B470"/>
    <w:rsid w:val="74472D01"/>
    <w:rsid w:val="747D8A55"/>
    <w:rsid w:val="75738392"/>
    <w:rsid w:val="78AAEA14"/>
    <w:rsid w:val="79B3504A"/>
    <w:rsid w:val="79B715E7"/>
    <w:rsid w:val="7AFF75E7"/>
    <w:rsid w:val="7B22DBC6"/>
    <w:rsid w:val="7BAF2E4B"/>
    <w:rsid w:val="7CCB06D0"/>
    <w:rsid w:val="7D8234F6"/>
    <w:rsid w:val="7E550B4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5382"/>
  <w15:docId w15:val="{0F6634CC-A666-46C1-AEAC-2B21E1BB1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LineNumber">
    <w:name w:val="line number"/>
  </w:style>
  <w:style w:type="character" w:styleId="Strong">
    <w:name w:val="Strong"/>
    <w:qFormat/>
    <w:rPr>
      <w:b/>
      <w:bCs/>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HeaderandFooter">
    <w:name w:val="Header and Footer"/>
    <w:basedOn w:val="Normal"/>
    <w:qFormat/>
  </w:style>
  <w:style w:type="paragraph" w:styleId="Header">
    <w:name w:val="header"/>
    <w:basedOn w:val="Normal"/>
    <w:uiPriority w:val="99"/>
    <w:unhideWhenUsed/>
    <w:rsid w:val="6F61EF51"/>
    <w:pPr>
      <w:tabs>
        <w:tab w:val="center" w:pos="4680"/>
        <w:tab w:val="right" w:pos="9360"/>
      </w:tabs>
    </w:pPr>
  </w:style>
  <w:style w:type="paragraph" w:styleId="Footer">
    <w:name w:val="footer"/>
    <w:basedOn w:val="Normal"/>
    <w:uiPriority w:val="99"/>
    <w:unhideWhenUsed/>
    <w:rsid w:val="6F61EF51"/>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874DF"/>
    <w:pPr>
      <w:suppressAutoHyphens w:val="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2767</Words>
  <Characters>1578</Characters>
  <Application>Microsoft Office Word</Application>
  <DocSecurity>0</DocSecurity>
  <Lines>13</Lines>
  <Paragraphs>8</Paragraphs>
  <ScaleCrop>false</ScaleCrop>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Severa Augusta Lukošaitytė</dc:creator>
  <dc:description/>
  <cp:lastModifiedBy>Severa Augusta Lukošaitytė</cp:lastModifiedBy>
  <cp:revision>2</cp:revision>
  <dcterms:created xsi:type="dcterms:W3CDTF">2025-11-20T08:56:00Z</dcterms:created>
  <dcterms:modified xsi:type="dcterms:W3CDTF">2025-11-20T08:56:00Z</dcterms:modified>
  <dc:language>lt-LT</dc:language>
</cp:coreProperties>
</file>