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E57CE" w14:textId="77777777" w:rsidR="00BD292F" w:rsidRDefault="00BD292F" w:rsidP="00BD2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PRANEŠIMAS SPAUDAI</w:t>
      </w:r>
    </w:p>
    <w:p w14:paraId="7ABFF73D" w14:textId="7E6B48CF" w:rsidR="00BD292F" w:rsidRDefault="00BD292F" w:rsidP="00BD2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2025 m. gruodžio 3 d.</w:t>
      </w:r>
    </w:p>
    <w:p w14:paraId="2CAE6376" w14:textId="77777777" w:rsidR="00BD292F" w:rsidRPr="00BD292F" w:rsidRDefault="00BD292F" w:rsidP="00BD292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t-LT"/>
          <w14:ligatures w14:val="none"/>
        </w:rPr>
        <w:t>Pristatyta tarptautinė ESPAD 2024 tyrimo rezultatų ataskaita: Lietuva – tarp Europos vidurkių, tačiau išlieka aiškios rizikos sritys</w:t>
      </w:r>
    </w:p>
    <w:p w14:paraId="392A64BC" w14:textId="7C058296" w:rsidR="00BD292F" w:rsidRPr="00BD292F" w:rsidRDefault="00BD292F" w:rsidP="00BD2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Šiandien įvyko Narkotikų, tabako ir alkoholio kontrolės departamento (NTAKD) ir Klaipėdos universiteto organizuota spaudos konferencija, kurioje pristatyta naujausia ESPAD (</w:t>
      </w:r>
      <w:proofErr w:type="spellStart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The</w:t>
      </w:r>
      <w:proofErr w:type="spellEnd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proofErr w:type="spellStart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European</w:t>
      </w:r>
      <w:proofErr w:type="spellEnd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proofErr w:type="spellStart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School</w:t>
      </w:r>
      <w:proofErr w:type="spellEnd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proofErr w:type="spellStart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Survey</w:t>
      </w:r>
      <w:proofErr w:type="spellEnd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Project </w:t>
      </w:r>
      <w:proofErr w:type="spellStart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on</w:t>
      </w:r>
      <w:proofErr w:type="spellEnd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proofErr w:type="spellStart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Alcohol</w:t>
      </w:r>
      <w:proofErr w:type="spellEnd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proofErr w:type="spellStart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and</w:t>
      </w:r>
      <w:proofErr w:type="spellEnd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proofErr w:type="spellStart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Other</w:t>
      </w:r>
      <w:proofErr w:type="spellEnd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proofErr w:type="spellStart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Drugs</w:t>
      </w:r>
      <w:proofErr w:type="spellEnd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) tarptautinė ataskaita. Tyrimas, apimantis 37 Europos šalis ir daugiau kaip 113 tūkst. penkiolikmečių ir šešiolikmečių, šiemet minėjo 30 metų sukaktį.</w:t>
      </w:r>
    </w:p>
    <w:p w14:paraId="2A6742FC" w14:textId="77777777" w:rsidR="00BD292F" w:rsidRPr="00BD292F" w:rsidRDefault="00BD292F" w:rsidP="00BD2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Spaudos konferencijoje dalyvavo NTAKD direktorė dr. Rita Sketerskienė ir Klaipėdos universiteto profesorė dr. Aelita Bredelytė, kuri pristatė naujausius Lietuvos duomenis Europos kontekste.</w:t>
      </w:r>
    </w:p>
    <w:p w14:paraId="56818A59" w14:textId="77777777" w:rsidR="00BD292F" w:rsidRPr="00BD292F" w:rsidRDefault="00BD292F" w:rsidP="00BD292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t-LT"/>
          <w14:ligatures w14:val="none"/>
        </w:rPr>
        <w:t>Tyrimo mastas ir reikšmė</w:t>
      </w:r>
    </w:p>
    <w:p w14:paraId="3EC44523" w14:textId="77777777" w:rsidR="00BD292F" w:rsidRDefault="00BD292F" w:rsidP="00BD2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Profesorė dr. A. Bredelytė pabrėžė, kad ESPAD tyrimas yra „</w:t>
      </w:r>
      <w:proofErr w:type="spellStart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metodologiškai</w:t>
      </w:r>
      <w:proofErr w:type="spellEnd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vienas patikimiausių ir ilgaamžiškiausių jaunimo elgesio stebėsenos instrumentų Europoje“.</w:t>
      </w:r>
    </w:p>
    <w:p w14:paraId="42A55924" w14:textId="0A9D2FC7" w:rsidR="00BD292F" w:rsidRPr="00BD292F" w:rsidRDefault="00BD292F" w:rsidP="00BD2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„ESPAD leidžia ne tik pamatyti, kur esame šiandien, bet ir suprasti, kaip kinta jaunimo elgesio tendencijos per kelis dešimtmečius. Tai unikalu – tokio masto ir tęstinumo tyrimų pasaulyje yra labai nedaug“, – sakė profesorė.</w:t>
      </w:r>
    </w:p>
    <w:p w14:paraId="5C5987A1" w14:textId="77777777" w:rsidR="00BD292F" w:rsidRPr="00BD292F" w:rsidRDefault="00BD292F" w:rsidP="00BD2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Lietuva ESPAD tyrime dalyvauja nuo 1995 m., o šių metų apklausa – jau aštuntoji.</w:t>
      </w:r>
    </w:p>
    <w:p w14:paraId="71B50540" w14:textId="77777777" w:rsidR="00BD292F" w:rsidRPr="00BD292F" w:rsidRDefault="00BD292F" w:rsidP="00BD292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t-LT"/>
          <w14:ligatures w14:val="none"/>
        </w:rPr>
        <w:t>Lietuvos profilis: stiprybės ir iššūkiai</w:t>
      </w:r>
    </w:p>
    <w:p w14:paraId="48975951" w14:textId="0C3D1404" w:rsidR="00BD292F" w:rsidRPr="00BD292F" w:rsidRDefault="00BD292F" w:rsidP="00BD2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Pagal nacionalinius 2024 m. duomenis, Lietuva išsiskiria itin ankstyvu elektroninių cigarečių vartojimu, taip pat aukštais </w:t>
      </w:r>
      <w:r w:rsidR="005E156C" w:rsidRPr="005E156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receptini</w:t>
      </w:r>
      <w:r w:rsidR="005E156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ų</w:t>
      </w:r>
      <w:r w:rsidR="005E156C" w:rsidRPr="005E156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migdom</w:t>
      </w:r>
      <w:r w:rsidR="005E156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ų</w:t>
      </w:r>
      <w:r w:rsidR="005E156C" w:rsidRPr="005E156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j</w:t>
      </w:r>
      <w:r w:rsidR="005E156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ų</w:t>
      </w:r>
      <w:r w:rsidR="005E156C" w:rsidRPr="005E156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ir raminam</w:t>
      </w:r>
      <w:r w:rsidR="005E156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ųjų</w:t>
      </w:r>
      <w:r w:rsidR="005E156C" w:rsidRPr="005E156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vaist</w:t>
      </w:r>
      <w:r w:rsidR="005E156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ų</w:t>
      </w:r>
      <w:r w:rsidR="005E156C" w:rsidRPr="005E156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be gydytojo paskyrimo</w:t>
      </w:r>
      <w:r w:rsidR="005E156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vartojimo </w:t>
      </w: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rodikliais, ypač tarp merginų.</w:t>
      </w:r>
    </w:p>
    <w:p w14:paraId="714A5602" w14:textId="77777777" w:rsidR="00BD292F" w:rsidRPr="00BD292F" w:rsidRDefault="00BD292F" w:rsidP="00BD2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„Didžiausią susirūpinimą kelia tai, kad net trečdalis mokinių elektronines cigaretes pirmą kartą pabando iki 13 metų. Tai vienas aukščiausių rodiklių Europoje, ir jis rodo labai ankstyvą žalingų įpročių pradžią“, – teigė dr. A. Bredelytė.</w:t>
      </w:r>
    </w:p>
    <w:p w14:paraId="4BD285E9" w14:textId="77777777" w:rsidR="00BD292F" w:rsidRPr="00BD292F" w:rsidRDefault="00BD292F" w:rsidP="00BD2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Tuo pat metu Lietuva gali džiaugtis ir teigiamomis tendencijomis: kanapių vartojimas mažėja ir artėja prie Europos vidurkio, o sunkus epizodinis gėrimas (</w:t>
      </w:r>
      <w:proofErr w:type="spellStart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binge</w:t>
      </w:r>
      <w:proofErr w:type="spellEnd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proofErr w:type="spellStart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drinking</w:t>
      </w:r>
      <w:proofErr w:type="spellEnd"/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) Lietuvoje beveik du kartus retesnis nei Europoje.</w:t>
      </w:r>
    </w:p>
    <w:p w14:paraId="666806CC" w14:textId="77777777" w:rsidR="00BD292F" w:rsidRPr="00BD292F" w:rsidRDefault="00BD292F" w:rsidP="00BD292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t-LT"/>
          <w14:ligatures w14:val="none"/>
        </w:rPr>
        <w:t>Pagrindiniai rodikliai Europos kontekste</w:t>
      </w:r>
    </w:p>
    <w:p w14:paraId="3FD9A111" w14:textId="77777777" w:rsidR="00BD292F" w:rsidRPr="00BD292F" w:rsidRDefault="00BD292F" w:rsidP="00BD292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El. cigaretės:</w:t>
      </w: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51,3 % mokinių bent kartą bandė (ES vidurkis – 44 %), 31 % bandė iki 13 metų.</w:t>
      </w:r>
    </w:p>
    <w:p w14:paraId="1B04E4AA" w14:textId="77777777" w:rsidR="00BD292F" w:rsidRPr="00BD292F" w:rsidRDefault="00BD292F" w:rsidP="00BD292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Rūkymas:</w:t>
      </w: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36,3 % bent kartą gyvenime, kasdieniai rūkantieji – 7,4 % (ES vidurkis – 7,9 %).</w:t>
      </w:r>
    </w:p>
    <w:p w14:paraId="25C51F48" w14:textId="77777777" w:rsidR="00BD292F" w:rsidRPr="00BD292F" w:rsidRDefault="00BD292F" w:rsidP="00BD292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Alkoholis:</w:t>
      </w: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Lietuva labai artima ES vidurkiui, tačiau mergaitės pradeda vartoti anksčiau nei berniukai.</w:t>
      </w:r>
    </w:p>
    <w:p w14:paraId="164DD89D" w14:textId="77777777" w:rsidR="00BD292F" w:rsidRPr="00BD292F" w:rsidRDefault="00BD292F" w:rsidP="00BD292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Kanapės:</w:t>
      </w: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11,6 % bent kartą gyvenime (ES vidurkis – 12 %), rodikliai mažėja.</w:t>
      </w:r>
    </w:p>
    <w:p w14:paraId="437BAF24" w14:textId="648D948B" w:rsidR="00BD292F" w:rsidRPr="00BD292F" w:rsidRDefault="005E156C" w:rsidP="00BD292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lastRenderedPageBreak/>
        <w:t>R</w:t>
      </w:r>
      <w:r w:rsidRPr="005E15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eceptiniai migdomieji ir raminamieji vaistai be gydytojo paskyrimo</w:t>
      </w:r>
      <w:r w:rsidR="00BD292F" w:rsidRPr="00BD29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:</w:t>
      </w:r>
      <w:r w:rsidR="00BD292F"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29 % bent kartą vartojusių – dvigubai daugiau nei Europoje, aukščiausias rodiklis tarp visų šalių.</w:t>
      </w:r>
    </w:p>
    <w:p w14:paraId="7AFAC314" w14:textId="77777777" w:rsidR="00BD292F" w:rsidRPr="00BD292F" w:rsidRDefault="00BD292F" w:rsidP="00BD292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Psichologinė gerovė:</w:t>
      </w: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WHO-5 indeksas žemiau ES vidurkio (Lietuvoje ~50 %, ES – 59 %).</w:t>
      </w:r>
    </w:p>
    <w:p w14:paraId="011ACFA7" w14:textId="77777777" w:rsidR="00BD292F" w:rsidRPr="00BD292F" w:rsidRDefault="00BD292F" w:rsidP="00BD292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Prevencinės veiklos:</w:t>
      </w: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72 % mokinių dalyvavo prevencinėse programose, o asmeninių įgūdžių mokymo pasiekimai – vieni geriausių Europoje.</w:t>
      </w:r>
    </w:p>
    <w:p w14:paraId="7C9CF708" w14:textId="77777777" w:rsidR="00BD292F" w:rsidRPr="00BD292F" w:rsidRDefault="00BD292F" w:rsidP="00BD292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t-LT"/>
          <w14:ligatures w14:val="none"/>
        </w:rPr>
        <w:t>Psichologinė sveikata – vienas kertinių aspektų</w:t>
      </w:r>
    </w:p>
    <w:p w14:paraId="68CA3AC4" w14:textId="77777777" w:rsidR="00BD292F" w:rsidRDefault="00BD292F" w:rsidP="00BD2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Profesorė atkreipė dėmesį į psichologinės savijautos svarbą, kuri siejasi ir su vartojimo, ir su skaitmeninių įpročių rizikomis.</w:t>
      </w:r>
    </w:p>
    <w:p w14:paraId="2CBDE50B" w14:textId="313D6C3D" w:rsidR="00BD292F" w:rsidRPr="00BD292F" w:rsidRDefault="00BD292F" w:rsidP="00BD2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„Jaunuolių emocinė gerovė šiandien yra tiesiogiai susijusi su jų elgesio pasirinkimais – nuo vartojimo iki socialinių tinklų įpročių. Deja, Lietuvos merginų savijauta išlieka ženkliai prastesnė nei berniukų, ir tai yra labai rimtas signalas visai sistemai“, – sakė profesorė.</w:t>
      </w:r>
    </w:p>
    <w:p w14:paraId="0C08B509" w14:textId="77777777" w:rsidR="00BD292F" w:rsidRPr="00BD292F" w:rsidRDefault="00BD292F" w:rsidP="00BD292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t-LT"/>
          <w14:ligatures w14:val="none"/>
        </w:rPr>
        <w:t>Stiprios prevencijos tradicijos</w:t>
      </w:r>
    </w:p>
    <w:p w14:paraId="4515CC2C" w14:textId="77777777" w:rsidR="00BD292F" w:rsidRPr="00BD292F" w:rsidRDefault="00BD292F" w:rsidP="00BD2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NTAKD direktorė dr. R. Sketerskienė pabrėžė, kad Lietuva, nepaisant rizikų, turi ir ryškių stiprybių:</w:t>
      </w: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br/>
        <w:t>„Mūsų šalies prevencinės programos yra viena stipriausių atramų, kurios padeda atsverti rizikingas tendencijas. Ypač svarbu, kad Lietuvos mokiniai aktyviai įtraukiami į įgūdžių ugdymo programas – tai įrodymais pagrįsta sėkmės kryptis“, – sakė ji.</w:t>
      </w:r>
    </w:p>
    <w:p w14:paraId="70468CC6" w14:textId="77777777" w:rsidR="00BD292F" w:rsidRPr="00BD292F" w:rsidRDefault="00BD292F" w:rsidP="00BD292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t-LT"/>
          <w14:ligatures w14:val="none"/>
        </w:rPr>
        <w:t>Išvados</w:t>
      </w:r>
    </w:p>
    <w:p w14:paraId="5D936B22" w14:textId="77777777" w:rsidR="00BD292F" w:rsidRPr="00BD292F" w:rsidRDefault="00BD292F" w:rsidP="00BD2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Lietuva Europos kontekste išlieka arti vidurkių daugumoje sričių, tačiau susiduria su trimis aiškiomis rizikomis:</w:t>
      </w:r>
    </w:p>
    <w:p w14:paraId="7B81E412" w14:textId="77777777" w:rsidR="00BD292F" w:rsidRPr="00BD292F" w:rsidRDefault="00BD292F" w:rsidP="00BD292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labai ankstyvas el. cigarečių vartojimas;</w:t>
      </w:r>
    </w:p>
    <w:p w14:paraId="411775E2" w14:textId="77777777" w:rsidR="00BD292F" w:rsidRPr="00BD292F" w:rsidRDefault="00BD292F" w:rsidP="00BD292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itin aukšti vaistų be recepto vartojimo rodikliai;</w:t>
      </w:r>
    </w:p>
    <w:p w14:paraId="3C1235F2" w14:textId="77777777" w:rsidR="00BD292F" w:rsidRPr="00BD292F" w:rsidRDefault="00BD292F" w:rsidP="00BD292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BD292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žemesnė psichologinė gerovė, ypač tarp merginų.</w:t>
      </w:r>
    </w:p>
    <w:p w14:paraId="4EE80548" w14:textId="6A88D097" w:rsidR="00D7343D" w:rsidRDefault="00BE521A" w:rsidP="00BD292F">
      <w:pPr>
        <w:jc w:val="both"/>
      </w:pPr>
      <w:r>
        <w:t xml:space="preserve">Prof. </w:t>
      </w:r>
      <w:proofErr w:type="spellStart"/>
      <w:r>
        <w:t>Aelitos</w:t>
      </w:r>
      <w:proofErr w:type="spellEnd"/>
      <w:r>
        <w:t xml:space="preserve"> </w:t>
      </w:r>
      <w:proofErr w:type="spellStart"/>
      <w:r>
        <w:t>Bredelytės</w:t>
      </w:r>
      <w:proofErr w:type="spellEnd"/>
      <w:r>
        <w:t xml:space="preserve"> prezentacija</w:t>
      </w:r>
    </w:p>
    <w:sectPr w:rsidR="00D7343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340DAE"/>
    <w:multiLevelType w:val="multilevel"/>
    <w:tmpl w:val="1AA0D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7B4D36"/>
    <w:multiLevelType w:val="multilevel"/>
    <w:tmpl w:val="9B82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5632155">
    <w:abstractNumId w:val="0"/>
  </w:num>
  <w:num w:numId="2" w16cid:durableId="1808430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92F"/>
    <w:rsid w:val="00003062"/>
    <w:rsid w:val="004958AE"/>
    <w:rsid w:val="005E156C"/>
    <w:rsid w:val="007D3F8A"/>
    <w:rsid w:val="00BD292F"/>
    <w:rsid w:val="00BE521A"/>
    <w:rsid w:val="00D7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B48B2"/>
  <w15:chartTrackingRefBased/>
  <w15:docId w15:val="{4F444CBB-D701-41DA-959E-626F2615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BD29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BD29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BD29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BD29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BD29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BD29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BD29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BD29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BD29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BD29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BD29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BD29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BD292F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BD292F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BD292F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BD292F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BD292F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BD292F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29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29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BD29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BD29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D29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BD292F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BD292F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BD292F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D29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D292F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BD29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2483</Words>
  <Characters>1416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komunikacija</dc:creator>
  <cp:keywords/>
  <dc:description/>
  <cp:lastModifiedBy>komunikacija</cp:lastModifiedBy>
  <cp:revision>2</cp:revision>
  <dcterms:created xsi:type="dcterms:W3CDTF">2025-12-03T11:27:00Z</dcterms:created>
  <dcterms:modified xsi:type="dcterms:W3CDTF">2025-12-03T12:34:00Z</dcterms:modified>
</cp:coreProperties>
</file>