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B720" w14:textId="55F42975" w:rsidR="007C246A" w:rsidRPr="007C246A" w:rsidRDefault="001252C6" w:rsidP="0046544B">
      <w:pPr>
        <w:jc w:val="center"/>
      </w:pPr>
      <w:r>
        <w:rPr>
          <w:b/>
          <w:bCs/>
        </w:rPr>
        <w:t xml:space="preserve">„Bigbank“ suteikia </w:t>
      </w:r>
      <w:r w:rsidRPr="007C246A">
        <w:rPr>
          <w:b/>
          <w:bCs/>
        </w:rPr>
        <w:t xml:space="preserve">36,43 mln. </w:t>
      </w:r>
      <w:r w:rsidR="0074237A">
        <w:rPr>
          <w:b/>
          <w:bCs/>
        </w:rPr>
        <w:t>e</w:t>
      </w:r>
      <w:r w:rsidRPr="007C246A">
        <w:rPr>
          <w:b/>
          <w:bCs/>
        </w:rPr>
        <w:t>ur</w:t>
      </w:r>
      <w:r w:rsidR="0074237A">
        <w:rPr>
          <w:b/>
          <w:bCs/>
        </w:rPr>
        <w:t>ų</w:t>
      </w:r>
      <w:r>
        <w:rPr>
          <w:b/>
          <w:bCs/>
        </w:rPr>
        <w:t xml:space="preserve"> paskolą gyvenam</w:t>
      </w:r>
      <w:r w:rsidR="007108FF">
        <w:rPr>
          <w:b/>
          <w:bCs/>
        </w:rPr>
        <w:t>a</w:t>
      </w:r>
      <w:r>
        <w:rPr>
          <w:b/>
          <w:bCs/>
        </w:rPr>
        <w:t>j</w:t>
      </w:r>
      <w:r w:rsidR="0074237A">
        <w:rPr>
          <w:b/>
          <w:bCs/>
        </w:rPr>
        <w:t>am</w:t>
      </w:r>
      <w:r>
        <w:rPr>
          <w:b/>
          <w:bCs/>
        </w:rPr>
        <w:t xml:space="preserve"> kvartal</w:t>
      </w:r>
      <w:r w:rsidR="0074237A">
        <w:rPr>
          <w:b/>
          <w:bCs/>
        </w:rPr>
        <w:t>ui</w:t>
      </w:r>
      <w:r>
        <w:rPr>
          <w:b/>
          <w:bCs/>
        </w:rPr>
        <w:t xml:space="preserve"> Vilniuje vysty</w:t>
      </w:r>
      <w:r w:rsidR="0074237A">
        <w:rPr>
          <w:b/>
          <w:bCs/>
        </w:rPr>
        <w:t>ti</w:t>
      </w:r>
    </w:p>
    <w:p w14:paraId="4472403C" w14:textId="4EA592F0" w:rsidR="007C246A" w:rsidRDefault="007C246A" w:rsidP="001252C6">
      <w:pPr>
        <w:jc w:val="both"/>
      </w:pPr>
      <w:r w:rsidRPr="007C246A">
        <w:t xml:space="preserve">Vilniuje, vaizdingoje vietoje tarp Neries upės ir Bukčių miško, vystomam gyvenamajam kvartalui „Bukčiai“ bankas „Bigbank“ suteikė 36,43 mln. </w:t>
      </w:r>
      <w:r w:rsidR="0074237A">
        <w:t>eurų</w:t>
      </w:r>
      <w:r w:rsidRPr="007C246A">
        <w:t xml:space="preserve"> finansavimą. Lėšos bus skir</w:t>
      </w:r>
      <w:r w:rsidR="0074237A">
        <w:t>iamos</w:t>
      </w:r>
      <w:r w:rsidRPr="007C246A">
        <w:t xml:space="preserve"> žemės sklypų įsigijimo refinansavimui </w:t>
      </w:r>
      <w:r w:rsidR="0074237A">
        <w:t>ir</w:t>
      </w:r>
      <w:r w:rsidR="0074237A" w:rsidRPr="007C246A">
        <w:t xml:space="preserve"> </w:t>
      </w:r>
      <w:r w:rsidRPr="007C246A">
        <w:t>pirmojo projekto etapo statybos darbams</w:t>
      </w:r>
      <w:r w:rsidR="00D1421E">
        <w:t>, rašoma „Bigbank“ pranešime žiniasklaidai.</w:t>
      </w:r>
    </w:p>
    <w:p w14:paraId="48583EFE" w14:textId="2EEE4C5F" w:rsidR="00F047A1" w:rsidRDefault="00D1421E" w:rsidP="001252C6">
      <w:pPr>
        <w:jc w:val="both"/>
      </w:pPr>
      <w:r w:rsidRPr="007C246A">
        <w:t xml:space="preserve">Iš viso kvartale </w:t>
      </w:r>
      <w:r w:rsidR="00F047A1">
        <w:t xml:space="preserve">„Bukčiai“ </w:t>
      </w:r>
      <w:r w:rsidRPr="007C246A">
        <w:t>suplanuota 18</w:t>
      </w:r>
      <w:r w:rsidR="00F047A1">
        <w:t xml:space="preserve"> A++ energinio naudingumo klasės</w:t>
      </w:r>
      <w:r w:rsidRPr="007C246A">
        <w:t xml:space="preserve"> daugiabučių, kuriuose bus įrengt</w:t>
      </w:r>
      <w:r w:rsidR="00E018FC">
        <w:t>i</w:t>
      </w:r>
      <w:r w:rsidRPr="007C246A">
        <w:t xml:space="preserve"> 501 butas </w:t>
      </w:r>
      <w:r w:rsidR="0074237A">
        <w:t>ir</w:t>
      </w:r>
      <w:r w:rsidR="0074237A" w:rsidRPr="007C246A">
        <w:t xml:space="preserve"> </w:t>
      </w:r>
      <w:r w:rsidRPr="007C246A">
        <w:t>27 komercinės patalpos.</w:t>
      </w:r>
      <w:r>
        <w:t xml:space="preserve"> </w:t>
      </w:r>
      <w:r w:rsidR="00F047A1">
        <w:t>S</w:t>
      </w:r>
      <w:r w:rsidR="00F047A1" w:rsidRPr="00F047A1">
        <w:t>uplanuoti 1–6 kambarių butai, kurių plota</w:t>
      </w:r>
      <w:r w:rsidR="007108FF">
        <w:t>s</w:t>
      </w:r>
      <w:r w:rsidR="00F047A1" w:rsidRPr="00F047A1">
        <w:t xml:space="preserve"> </w:t>
      </w:r>
      <w:r w:rsidR="007108FF" w:rsidRPr="00F047A1">
        <w:t>–</w:t>
      </w:r>
      <w:r w:rsidR="007108FF">
        <w:t xml:space="preserve"> </w:t>
      </w:r>
      <w:r w:rsidR="00F047A1" w:rsidRPr="00F047A1">
        <w:t>nuo 22 iki 204 kv. m</w:t>
      </w:r>
      <w:r w:rsidR="007108FF">
        <w:t>etrų</w:t>
      </w:r>
      <w:r w:rsidR="00F047A1" w:rsidRPr="00F047A1">
        <w:t xml:space="preserve">. </w:t>
      </w:r>
      <w:r w:rsidR="007108FF">
        <w:t>K</w:t>
      </w:r>
      <w:r w:rsidR="00F047A1">
        <w:t>omercinių patalpų</w:t>
      </w:r>
      <w:r w:rsidR="00F047A1" w:rsidRPr="00F047A1">
        <w:t xml:space="preserve"> plota</w:t>
      </w:r>
      <w:r w:rsidR="007108FF">
        <w:t>s</w:t>
      </w:r>
      <w:r w:rsidR="00F047A1" w:rsidRPr="00F047A1">
        <w:t xml:space="preserve"> bus nuo 21 iki 319 kv. m</w:t>
      </w:r>
      <w:r w:rsidR="007108FF">
        <w:t>etrų</w:t>
      </w:r>
      <w:r w:rsidR="00F047A1" w:rsidRPr="00F047A1">
        <w:t>.</w:t>
      </w:r>
      <w:r w:rsidR="00F047A1">
        <w:t xml:space="preserve"> </w:t>
      </w:r>
    </w:p>
    <w:p w14:paraId="3DE276A9" w14:textId="5CE00C6D" w:rsidR="00F047A1" w:rsidRDefault="00F047A1" w:rsidP="001252C6">
      <w:pPr>
        <w:jc w:val="both"/>
      </w:pPr>
      <w:r>
        <w:t>Taip pat</w:t>
      </w:r>
      <w:r w:rsidRPr="00F047A1">
        <w:t xml:space="preserve"> suplanuotos 539 automobilių stovėjimo vietos, iš kurių 92 proc. bus įrengt</w:t>
      </w:r>
      <w:r w:rsidR="00E018FC">
        <w:t>a</w:t>
      </w:r>
      <w:r w:rsidRPr="00F047A1">
        <w:t xml:space="preserve"> požeminėse stovėjimo aikštelėse.</w:t>
      </w:r>
    </w:p>
    <w:p w14:paraId="510EB3D8" w14:textId="45B33092" w:rsidR="00D1421E" w:rsidRPr="007C246A" w:rsidRDefault="00D1421E" w:rsidP="001252C6">
      <w:pPr>
        <w:jc w:val="both"/>
      </w:pPr>
      <w:r w:rsidRPr="007C246A">
        <w:t>Projektas įgyvendinamas dviem etapais – „Miško“ ir „Upės“.</w:t>
      </w:r>
      <w:r>
        <w:t xml:space="preserve"> </w:t>
      </w:r>
      <w:r w:rsidRPr="007C246A">
        <w:t>Šiuo metu jau pradėt</w:t>
      </w:r>
      <w:r w:rsidR="007108FF">
        <w:t>a</w:t>
      </w:r>
      <w:r w:rsidRPr="007C246A">
        <w:t>s pirm</w:t>
      </w:r>
      <w:r w:rsidR="007108FF">
        <w:t>asis</w:t>
      </w:r>
      <w:r w:rsidRPr="007C246A">
        <w:t xml:space="preserve"> – „Miško“ etap</w:t>
      </w:r>
      <w:r w:rsidR="007108FF">
        <w:t>as</w:t>
      </w:r>
      <w:r w:rsidRPr="007C246A">
        <w:t xml:space="preserve">. </w:t>
      </w:r>
      <w:r w:rsidR="007108FF">
        <w:t>I</w:t>
      </w:r>
      <w:r w:rsidRPr="007C246A">
        <w:t xml:space="preserve">škils 9 daugiabučiai namai su 295 butais ir 19 komercinių patalpų. </w:t>
      </w:r>
    </w:p>
    <w:p w14:paraId="6E171024" w14:textId="7D13AD5C" w:rsidR="007C246A" w:rsidRPr="007C246A" w:rsidRDefault="007C246A" w:rsidP="001252C6">
      <w:pPr>
        <w:jc w:val="both"/>
      </w:pPr>
      <w:r w:rsidRPr="007C246A">
        <w:t xml:space="preserve">„Priimant sprendimą finansuoti šį projektą, bankui buvo svarbi unikali jo lokacija ir vystytojo vizija sukurti vizualiai estetišką, darniai į gamtinę aplinką įsiliejantį kvartalą. Projekto vieta gamtos apsuptyje, šalia miško ir upės, bei tvarus požiūris į buvusios pramonės teritorijos konversiją leidžia mums tikėti šio projekto sėkme ir patrauklumu būsimiems gyventojams“, – </w:t>
      </w:r>
      <w:r w:rsidR="007108FF">
        <w:t>sako</w:t>
      </w:r>
      <w:r w:rsidR="007108FF" w:rsidRPr="007C246A">
        <w:t xml:space="preserve"> </w:t>
      </w:r>
      <w:r w:rsidRPr="007C246A">
        <w:t>Deividas Žukas, „Bigbank“ Verslo paskolų skyriaus vadovas.</w:t>
      </w:r>
    </w:p>
    <w:p w14:paraId="05D326D3" w14:textId="1A4A3725" w:rsidR="007C246A" w:rsidRPr="007C246A" w:rsidRDefault="007C246A" w:rsidP="001252C6">
      <w:pPr>
        <w:jc w:val="both"/>
      </w:pPr>
      <w:r w:rsidRPr="00F047A1">
        <w:t>Kvartalas „Bukčiai“ vystomas 3,1 ha teritorijoje, buvusios plytų gamyklos vietoje. Pasak vystytojų</w:t>
      </w:r>
      <w:r w:rsidR="00F047A1" w:rsidRPr="00F047A1">
        <w:t xml:space="preserve"> iš „Riverside Real Estate Fund“</w:t>
      </w:r>
      <w:r w:rsidRPr="00F047A1">
        <w:t>, projektas išsiskiria unikalia gamtos ir urbanistinio peizažo simbioze</w:t>
      </w:r>
      <w:r w:rsidR="00D1421E" w:rsidRPr="00F047A1">
        <w:t>:</w:t>
      </w:r>
      <w:r w:rsidRPr="00F047A1">
        <w:t xml:space="preserve"> „Gamta čia nėra kuriama dirbtinai – ji jau egzistuoja, todėl upės slėnis ir</w:t>
      </w:r>
      <w:r w:rsidRPr="007C246A">
        <w:t xml:space="preserve"> miško masyvas formuos ne tik vizualinį identitetą, bet ir gyventojų kasdienybę</w:t>
      </w:r>
      <w:r>
        <w:t xml:space="preserve">“, – pasakoja </w:t>
      </w:r>
      <w:r w:rsidR="00F047A1" w:rsidRPr="00F047A1">
        <w:t xml:space="preserve">„Novus </w:t>
      </w:r>
      <w:r w:rsidR="00F047A1">
        <w:t>A</w:t>
      </w:r>
      <w:r w:rsidR="00F047A1" w:rsidRPr="00F047A1">
        <w:t xml:space="preserve">sset </w:t>
      </w:r>
      <w:r w:rsidR="00F047A1">
        <w:t>M</w:t>
      </w:r>
      <w:r w:rsidR="00F047A1" w:rsidRPr="00F047A1">
        <w:t>anagement“ vadovas Leonardas Diržys</w:t>
      </w:r>
      <w:r w:rsidR="00F047A1">
        <w:t>.</w:t>
      </w:r>
    </w:p>
    <w:p w14:paraId="108515F1" w14:textId="34619275" w:rsidR="007C246A" w:rsidRDefault="007C246A" w:rsidP="001252C6">
      <w:pPr>
        <w:jc w:val="both"/>
      </w:pPr>
      <w:r w:rsidRPr="007C246A">
        <w:t xml:space="preserve">Projekto architektūrinė koncepcija remiasi teritorijos atvėrimu miestui. Buvusi uždara gamybinė zona transformuojama į vientisą kvartalą su viešosiomis erdvėmis, pėsčiųjų takais ir paslaugoms skirtomis zonomis. </w:t>
      </w:r>
    </w:p>
    <w:p w14:paraId="21E0A1AE" w14:textId="295BD4BE" w:rsidR="00D1421E" w:rsidRPr="007C246A" w:rsidRDefault="00D1421E" w:rsidP="001252C6">
      <w:pPr>
        <w:jc w:val="both"/>
      </w:pPr>
      <w:r>
        <w:t xml:space="preserve">Anot </w:t>
      </w:r>
      <w:r w:rsidR="00F047A1">
        <w:t>L. Diržio</w:t>
      </w:r>
      <w:r>
        <w:t>, finansuotoj</w:t>
      </w:r>
      <w:r w:rsidR="001252C6">
        <w:t>o pasirinkimą lėmė patirtis</w:t>
      </w:r>
      <w:r w:rsidR="007108FF">
        <w:t>.</w:t>
      </w:r>
      <w:r w:rsidR="001252C6">
        <w:t xml:space="preserve"> „Žinome, kad „Bigbank“ jau ne kartą </w:t>
      </w:r>
      <w:r w:rsidR="00C37F2D">
        <w:t>dalyvavo</w:t>
      </w:r>
      <w:r w:rsidR="001252C6">
        <w:t xml:space="preserve"> </w:t>
      </w:r>
      <w:r w:rsidR="007108FF">
        <w:t xml:space="preserve">finansuojant </w:t>
      </w:r>
      <w:r w:rsidR="001252C6">
        <w:t xml:space="preserve">kelių etapų gyvenamojo </w:t>
      </w:r>
      <w:r w:rsidR="007108FF">
        <w:t>nekilnojamojo turto</w:t>
      </w:r>
      <w:r w:rsidR="001252C6">
        <w:t xml:space="preserve"> projekt</w:t>
      </w:r>
      <w:r w:rsidR="007108FF">
        <w:t>us</w:t>
      </w:r>
      <w:r w:rsidR="001252C6">
        <w:t xml:space="preserve">, todėl gavome lankstumą, kurio mums reikėjo“, – argumentuoja </w:t>
      </w:r>
      <w:r w:rsidR="00F047A1">
        <w:t>L. Diržys</w:t>
      </w:r>
      <w:r w:rsidR="001252C6">
        <w:t>.</w:t>
      </w:r>
    </w:p>
    <w:p w14:paraId="16319D87" w14:textId="40C988B2" w:rsidR="00D1421E" w:rsidRDefault="00D1421E" w:rsidP="001252C6">
      <w:pPr>
        <w:jc w:val="both"/>
      </w:pPr>
      <w:r>
        <w:t>Pirmojo</w:t>
      </w:r>
      <w:r w:rsidRPr="007C246A">
        <w:t xml:space="preserve"> etapo darbus planuojama baigti 2027 m. </w:t>
      </w:r>
      <w:r w:rsidR="007108FF">
        <w:t>trečiąjį</w:t>
      </w:r>
      <w:r w:rsidRPr="007C246A">
        <w:t xml:space="preserve"> ketvirtį</w:t>
      </w:r>
      <w:r w:rsidR="007108FF">
        <w:t>,</w:t>
      </w:r>
      <w:r w:rsidRPr="007C246A">
        <w:t xml:space="preserve"> </w:t>
      </w:r>
      <w:r w:rsidR="007108FF">
        <w:t>o a</w:t>
      </w:r>
      <w:r w:rsidRPr="007C246A">
        <w:t>ntrojo – „Upės“ etapo statybos numatomos 2027–2029 metais.</w:t>
      </w:r>
    </w:p>
    <w:p w14:paraId="20E77B47" w14:textId="5D147C92" w:rsidR="001252C6" w:rsidRPr="00D91CFC" w:rsidRDefault="001252C6" w:rsidP="00F047A1">
      <w:pPr>
        <w:jc w:val="both"/>
        <w:rPr>
          <w:i/>
          <w:iCs/>
        </w:rPr>
      </w:pPr>
      <w:r w:rsidRPr="00D91CFC">
        <w:rPr>
          <w:i/>
          <w:iCs/>
        </w:rPr>
        <w:t>Daugiau kaip 30 metų veikiantis bankas „Bigbank“ yra Estijos kapitalo komercinis bankas. 202</w:t>
      </w:r>
      <w:r>
        <w:rPr>
          <w:i/>
          <w:iCs/>
        </w:rPr>
        <w:t>5</w:t>
      </w:r>
      <w:r w:rsidR="007108FF">
        <w:rPr>
          <w:i/>
          <w:iCs/>
        </w:rPr>
        <w:t> </w:t>
      </w:r>
      <w:r w:rsidRPr="00D91CFC">
        <w:rPr>
          <w:i/>
          <w:iCs/>
        </w:rPr>
        <w:t xml:space="preserve">m. </w:t>
      </w:r>
      <w:r>
        <w:rPr>
          <w:i/>
          <w:iCs/>
        </w:rPr>
        <w:t>rugsėjo 30</w:t>
      </w:r>
      <w:r w:rsidR="007108FF">
        <w:rPr>
          <w:i/>
          <w:iCs/>
        </w:rPr>
        <w:t> d.</w:t>
      </w:r>
      <w:r w:rsidRPr="00D91CFC">
        <w:rPr>
          <w:i/>
          <w:iCs/>
        </w:rPr>
        <w:t xml:space="preserve"> duomenimis, bendras banko turtas sudarė </w:t>
      </w:r>
      <w:r>
        <w:rPr>
          <w:i/>
          <w:iCs/>
        </w:rPr>
        <w:t>3,2</w:t>
      </w:r>
      <w:r w:rsidRPr="00D91CFC">
        <w:rPr>
          <w:i/>
          <w:iCs/>
        </w:rPr>
        <w:t xml:space="preserve"> mlrd. </w:t>
      </w:r>
      <w:r w:rsidR="007108FF">
        <w:rPr>
          <w:i/>
          <w:iCs/>
        </w:rPr>
        <w:t>eurų</w:t>
      </w:r>
      <w:r w:rsidRPr="00D91CFC">
        <w:rPr>
          <w:i/>
          <w:iCs/>
        </w:rPr>
        <w:t>, nuosavas kapitalas –</w:t>
      </w:r>
      <w:r>
        <w:rPr>
          <w:i/>
          <w:iCs/>
        </w:rPr>
        <w:t xml:space="preserve"> 292</w:t>
      </w:r>
      <w:r w:rsidRPr="00D91CFC">
        <w:rPr>
          <w:i/>
          <w:iCs/>
        </w:rPr>
        <w:t xml:space="preserve"> mln. </w:t>
      </w:r>
      <w:r w:rsidR="007108FF">
        <w:rPr>
          <w:i/>
          <w:iCs/>
        </w:rPr>
        <w:t>eurų</w:t>
      </w:r>
      <w:r w:rsidRPr="00D91CFC">
        <w:rPr>
          <w:i/>
          <w:iCs/>
        </w:rPr>
        <w:t xml:space="preserve">. Devyniose šalyse veikiantis bankas aptarnauja daugiau kaip </w:t>
      </w:r>
      <w:r>
        <w:rPr>
          <w:i/>
          <w:iCs/>
        </w:rPr>
        <w:t>177</w:t>
      </w:r>
      <w:r w:rsidRPr="00D91CFC">
        <w:rPr>
          <w:i/>
          <w:iCs/>
        </w:rPr>
        <w:t xml:space="preserve"> 000 aktyvių klientų, jame dirba daugiau kaip </w:t>
      </w:r>
      <w:r>
        <w:rPr>
          <w:i/>
          <w:iCs/>
        </w:rPr>
        <w:t>600</w:t>
      </w:r>
      <w:r w:rsidRPr="00D91CFC">
        <w:rPr>
          <w:i/>
          <w:iCs/>
        </w:rPr>
        <w:t xml:space="preserve"> darbuotojų. </w:t>
      </w:r>
    </w:p>
    <w:p w14:paraId="541E6674" w14:textId="78B133EA" w:rsidR="007C246A" w:rsidRPr="007C246A" w:rsidRDefault="001252C6" w:rsidP="00F047A1">
      <w:pPr>
        <w:jc w:val="both"/>
        <w:rPr>
          <w:i/>
          <w:iCs/>
        </w:rPr>
      </w:pPr>
      <w:r w:rsidRPr="001252C6">
        <w:rPr>
          <w:i/>
          <w:iCs/>
        </w:rPr>
        <w:t>„</w:t>
      </w:r>
      <w:r w:rsidR="00F047A1" w:rsidRPr="00F047A1">
        <w:rPr>
          <w:i/>
          <w:iCs/>
        </w:rPr>
        <w:t>Novus Asset Management“ – viena didžiausių alternatyv</w:t>
      </w:r>
      <w:r w:rsidR="007108FF">
        <w:rPr>
          <w:i/>
          <w:iCs/>
        </w:rPr>
        <w:t>iojo</w:t>
      </w:r>
      <w:r w:rsidR="00F047A1" w:rsidRPr="00F047A1">
        <w:rPr>
          <w:i/>
          <w:iCs/>
        </w:rPr>
        <w:t xml:space="preserve"> turto valdymo bendrovių Lietuvoje, daugiau nei 14 metų kurianti ilgalaikę vertę savo klientams ir nuosekliai auginanti jų sukauptą kapitalą. Bendrovės valdomas investicinis fondas UTIISIB „Riverside Real Estate Fund“ vysto vieną didžiausių šiuo metu sostinėje įgyvendinamų gyvenamųjų projektų – daugiau kaip 70 mln. eurų vertės gyvenamąjį kvartalą „Bukčiai“.</w:t>
      </w:r>
    </w:p>
    <w:sectPr w:rsidR="007C246A" w:rsidRPr="007C24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46A"/>
    <w:rsid w:val="001252C6"/>
    <w:rsid w:val="00450B0D"/>
    <w:rsid w:val="0046544B"/>
    <w:rsid w:val="007108FF"/>
    <w:rsid w:val="0074237A"/>
    <w:rsid w:val="007C246A"/>
    <w:rsid w:val="0088295D"/>
    <w:rsid w:val="00A66476"/>
    <w:rsid w:val="00AE53CE"/>
    <w:rsid w:val="00B57906"/>
    <w:rsid w:val="00C37F2D"/>
    <w:rsid w:val="00C60A1B"/>
    <w:rsid w:val="00D1421E"/>
    <w:rsid w:val="00D36239"/>
    <w:rsid w:val="00E018FC"/>
    <w:rsid w:val="00EC18D8"/>
    <w:rsid w:val="00F047A1"/>
    <w:rsid w:val="00FB0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D36BF"/>
  <w15:docId w15:val="{06D269F6-5A32-4134-B208-CA28D0111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47A1"/>
    <w:rPr>
      <w:lang w:val="lt-LT"/>
    </w:rPr>
  </w:style>
  <w:style w:type="paragraph" w:styleId="Heading1">
    <w:name w:val="heading 1"/>
    <w:basedOn w:val="Normal"/>
    <w:next w:val="Normal"/>
    <w:link w:val="Heading1Char"/>
    <w:uiPriority w:val="9"/>
    <w:qFormat/>
    <w:rsid w:val="007C24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24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246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246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C246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C24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24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24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24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246A"/>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7C246A"/>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7C246A"/>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7C246A"/>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7C246A"/>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7C246A"/>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7C246A"/>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7C246A"/>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7C246A"/>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7C24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246A"/>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7C24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246A"/>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7C246A"/>
    <w:pPr>
      <w:spacing w:before="160"/>
      <w:jc w:val="center"/>
    </w:pPr>
    <w:rPr>
      <w:i/>
      <w:iCs/>
      <w:color w:val="404040" w:themeColor="text1" w:themeTint="BF"/>
    </w:rPr>
  </w:style>
  <w:style w:type="character" w:customStyle="1" w:styleId="QuoteChar">
    <w:name w:val="Quote Char"/>
    <w:basedOn w:val="DefaultParagraphFont"/>
    <w:link w:val="Quote"/>
    <w:uiPriority w:val="29"/>
    <w:rsid w:val="007C246A"/>
    <w:rPr>
      <w:i/>
      <w:iCs/>
      <w:color w:val="404040" w:themeColor="text1" w:themeTint="BF"/>
      <w:lang w:val="lt-LT"/>
    </w:rPr>
  </w:style>
  <w:style w:type="paragraph" w:styleId="ListParagraph">
    <w:name w:val="List Paragraph"/>
    <w:basedOn w:val="Normal"/>
    <w:uiPriority w:val="34"/>
    <w:qFormat/>
    <w:rsid w:val="007C246A"/>
    <w:pPr>
      <w:ind w:left="720"/>
      <w:contextualSpacing/>
    </w:pPr>
  </w:style>
  <w:style w:type="character" w:styleId="IntenseEmphasis">
    <w:name w:val="Intense Emphasis"/>
    <w:basedOn w:val="DefaultParagraphFont"/>
    <w:uiPriority w:val="21"/>
    <w:qFormat/>
    <w:rsid w:val="007C246A"/>
    <w:rPr>
      <w:i/>
      <w:iCs/>
      <w:color w:val="2F5496" w:themeColor="accent1" w:themeShade="BF"/>
    </w:rPr>
  </w:style>
  <w:style w:type="paragraph" w:styleId="IntenseQuote">
    <w:name w:val="Intense Quote"/>
    <w:basedOn w:val="Normal"/>
    <w:next w:val="Normal"/>
    <w:link w:val="IntenseQuoteChar"/>
    <w:uiPriority w:val="30"/>
    <w:qFormat/>
    <w:rsid w:val="007C24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246A"/>
    <w:rPr>
      <w:i/>
      <w:iCs/>
      <w:color w:val="2F5496" w:themeColor="accent1" w:themeShade="BF"/>
      <w:lang w:val="lt-LT"/>
    </w:rPr>
  </w:style>
  <w:style w:type="character" w:styleId="IntenseReference">
    <w:name w:val="Intense Reference"/>
    <w:basedOn w:val="DefaultParagraphFont"/>
    <w:uiPriority w:val="32"/>
    <w:qFormat/>
    <w:rsid w:val="007C246A"/>
    <w:rPr>
      <w:b/>
      <w:bCs/>
      <w:smallCaps/>
      <w:color w:val="2F5496" w:themeColor="accent1" w:themeShade="BF"/>
      <w:spacing w:val="5"/>
    </w:rPr>
  </w:style>
  <w:style w:type="character" w:styleId="Hyperlink">
    <w:name w:val="Hyperlink"/>
    <w:basedOn w:val="DefaultParagraphFont"/>
    <w:uiPriority w:val="99"/>
    <w:unhideWhenUsed/>
    <w:rsid w:val="007C246A"/>
    <w:rPr>
      <w:color w:val="0563C1" w:themeColor="hyperlink"/>
      <w:u w:val="single"/>
    </w:rPr>
  </w:style>
  <w:style w:type="character" w:customStyle="1" w:styleId="UnresolvedMention1">
    <w:name w:val="Unresolved Mention1"/>
    <w:basedOn w:val="DefaultParagraphFont"/>
    <w:uiPriority w:val="99"/>
    <w:semiHidden/>
    <w:unhideWhenUsed/>
    <w:rsid w:val="007C246A"/>
    <w:rPr>
      <w:color w:val="605E5C"/>
      <w:shd w:val="clear" w:color="auto" w:fill="E1DFDD"/>
    </w:rPr>
  </w:style>
  <w:style w:type="paragraph" w:styleId="Revision">
    <w:name w:val="Revision"/>
    <w:hidden/>
    <w:uiPriority w:val="99"/>
    <w:semiHidden/>
    <w:rsid w:val="00EC18D8"/>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Murin</dc:creator>
  <cp:lastModifiedBy>Erik Murin</cp:lastModifiedBy>
  <cp:revision>2</cp:revision>
  <dcterms:created xsi:type="dcterms:W3CDTF">2026-01-30T04:53:00Z</dcterms:created>
  <dcterms:modified xsi:type="dcterms:W3CDTF">2026-01-30T04:53:00Z</dcterms:modified>
</cp:coreProperties>
</file>