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C2572" w14:textId="77777777" w:rsidR="005A02E8" w:rsidRDefault="005A02E8" w:rsidP="005A02E8">
      <w:pPr>
        <w:tabs>
          <w:tab w:val="left" w:pos="2760"/>
        </w:tabs>
        <w:spacing w:after="0" w:line="276" w:lineRule="auto"/>
        <w:rPr>
          <w:rFonts w:ascii="Tahoma" w:eastAsia="Tahoma" w:hAnsi="Tahoma" w:cs="Tahoma"/>
        </w:rPr>
      </w:pPr>
      <w:r>
        <w:rPr>
          <w:rFonts w:ascii="Tahoma" w:eastAsia="Tahoma" w:hAnsi="Tahoma" w:cs="Tahoma"/>
        </w:rPr>
        <w:tab/>
      </w:r>
    </w:p>
    <w:p w14:paraId="730566C5" w14:textId="77777777" w:rsidR="005A02E8" w:rsidRDefault="005A02E8" w:rsidP="005A02E8">
      <w:pPr>
        <w:tabs>
          <w:tab w:val="left" w:pos="3590"/>
          <w:tab w:val="left" w:pos="9072"/>
        </w:tabs>
        <w:spacing w:after="0" w:line="276" w:lineRule="auto"/>
        <w:rPr>
          <w:rFonts w:ascii="Tahoma" w:eastAsia="Tahoma" w:hAnsi="Tahoma" w:cs="Tahoma"/>
        </w:rPr>
      </w:pPr>
      <w:r>
        <w:rPr>
          <w:rFonts w:ascii="Tahoma" w:eastAsia="Tahoma" w:hAnsi="Tahoma" w:cs="Tahoma"/>
        </w:rPr>
        <w:tab/>
      </w:r>
    </w:p>
    <w:p w14:paraId="31449B0A" w14:textId="77777777" w:rsidR="005A02E8" w:rsidRDefault="005A02E8" w:rsidP="005A02E8">
      <w:pPr>
        <w:spacing w:after="0" w:line="276" w:lineRule="auto"/>
        <w:rPr>
          <w:rFonts w:ascii="Tahoma" w:eastAsia="Tahoma" w:hAnsi="Tahoma" w:cs="Tahoma"/>
        </w:rPr>
      </w:pPr>
    </w:p>
    <w:p w14:paraId="2FFC91B2" w14:textId="77777777" w:rsidR="005A02E8" w:rsidRDefault="005A02E8" w:rsidP="005A02E8">
      <w:pPr>
        <w:spacing w:after="120" w:line="276" w:lineRule="auto"/>
        <w:rPr>
          <w:rFonts w:ascii="Tahoma" w:eastAsia="Tahoma" w:hAnsi="Tahoma" w:cs="Tahoma"/>
        </w:rPr>
      </w:pPr>
    </w:p>
    <w:p w14:paraId="701A0F59" w14:textId="0F81FCC4" w:rsidR="004F7DF0" w:rsidRPr="00194408" w:rsidRDefault="00010236" w:rsidP="00010236">
      <w:pPr>
        <w:rPr>
          <w:i/>
          <w:lang w:val="lt-LT"/>
        </w:rPr>
      </w:pPr>
      <w:r w:rsidRPr="00010236">
        <w:rPr>
          <w:i/>
          <w:lang w:val="lt-LT"/>
        </w:rPr>
        <w:t>Pranešimas žiniasklaidai</w:t>
      </w:r>
      <w:r w:rsidRPr="00010236">
        <w:rPr>
          <w:i/>
          <w:lang w:val="lt-LT"/>
        </w:rPr>
        <w:br/>
        <w:t xml:space="preserve">2026 m. </w:t>
      </w:r>
      <w:r w:rsidR="006D2AB3">
        <w:rPr>
          <w:i/>
          <w:lang w:val="lt-LT"/>
        </w:rPr>
        <w:t xml:space="preserve">kovo </w:t>
      </w:r>
      <w:r w:rsidR="00BD7C80">
        <w:rPr>
          <w:i/>
          <w:lang w:val="lt-LT"/>
        </w:rPr>
        <w:t>10</w:t>
      </w:r>
      <w:r w:rsidRPr="00010236">
        <w:rPr>
          <w:i/>
          <w:lang w:val="lt-LT"/>
        </w:rPr>
        <w:t xml:space="preserve"> d.</w:t>
      </w:r>
    </w:p>
    <w:p w14:paraId="0C23F567" w14:textId="77777777" w:rsidR="00BD7C80" w:rsidRPr="00BD7C80" w:rsidRDefault="00BD7C80" w:rsidP="00BD7C80">
      <w:pPr>
        <w:jc w:val="center"/>
        <w:rPr>
          <w:b/>
          <w:bCs/>
          <w:sz w:val="28"/>
          <w:szCs w:val="28"/>
          <w:lang w:val="lt-LT"/>
        </w:rPr>
      </w:pPr>
      <w:r w:rsidRPr="00BD7C80">
        <w:rPr>
          <w:b/>
          <w:bCs/>
          <w:sz w:val="28"/>
          <w:szCs w:val="28"/>
          <w:lang w:val="lt-LT"/>
        </w:rPr>
        <w:t>BTA didina kelionių draudimo apsaugą – kompensuos išlaidas, jei dėl karinių veiksmų uždaroma oro erdvė</w:t>
      </w:r>
    </w:p>
    <w:p w14:paraId="5A8A2398" w14:textId="77777777" w:rsidR="00BD7C80" w:rsidRPr="00BD7C80" w:rsidRDefault="00BD7C80" w:rsidP="00BD7C80">
      <w:pPr>
        <w:jc w:val="both"/>
        <w:rPr>
          <w:b/>
          <w:bCs/>
          <w:sz w:val="24"/>
          <w:szCs w:val="24"/>
          <w:lang w:val="lt-LT"/>
        </w:rPr>
      </w:pPr>
      <w:r w:rsidRPr="00BD7C80">
        <w:rPr>
          <w:b/>
          <w:bCs/>
          <w:sz w:val="24"/>
          <w:szCs w:val="24"/>
          <w:lang w:val="lt-LT"/>
        </w:rPr>
        <w:t>Augant geopolitiniam neapibrėžtumui Artimuosiuose Rytuose, vis daugiau lietuvių, įsigijusių keliones į Turkiją, Egiptą ar kitus šio regiono kurortus, ima nerimauti. Nerimą kelia ne tik saugumo situacija, bet ir galimas oro erdvės uždarymas – tokiu atveju keliautojai gali įstrigti užsienyje ilgesniam nei planuota laikui ir patirti papildomų išlaidų. Reaguodama į šią situaciją, draudimo bendrovė BTA priėmė savo klientams palankų sprendimą – įmonė kompensuos keliautojų patirtas išlaidas, jei dėl karinių veiksmų uždarius oro erdvę jie negalės grįžti į Lietuvą planuotu skrydžiu.</w:t>
      </w:r>
    </w:p>
    <w:p w14:paraId="00845A62" w14:textId="77777777" w:rsidR="00BD7C80" w:rsidRPr="00BD7C80" w:rsidRDefault="00BD7C80" w:rsidP="00BD7C80">
      <w:pPr>
        <w:jc w:val="both"/>
        <w:rPr>
          <w:sz w:val="24"/>
          <w:szCs w:val="24"/>
          <w:lang w:val="lt-LT"/>
        </w:rPr>
      </w:pPr>
      <w:r w:rsidRPr="00BD7C80">
        <w:rPr>
          <w:sz w:val="24"/>
          <w:szCs w:val="24"/>
          <w:lang w:val="lt-LT"/>
        </w:rPr>
        <w:t>Rinkdamiesi savo kelionių draudimo apsaugos paketą klientai turi galimybę įtraukti pradėtos kelionės sutrikimų draudimo riziką, kuri padengia papildomas išlaidas, pavyzdžiui, už nakvynę ar naujus bilietus, kai skrydis vėluoja ar yra atšaukiamas. Nauja apsaugos apimtis šią riziką praplečia ir apima situacijas, kai kelionę sutrikdo kariniai konfliktai ar jų pasekmės šalyse, kurios draudimo sutarties sudarymo metu yra saugios ir nepaliestos karinių veiksmų.</w:t>
      </w:r>
    </w:p>
    <w:p w14:paraId="708C251C" w14:textId="77777777" w:rsidR="00BD7C80" w:rsidRPr="00BD7C80" w:rsidRDefault="00BD7C80" w:rsidP="00BD7C80">
      <w:pPr>
        <w:jc w:val="both"/>
        <w:rPr>
          <w:sz w:val="24"/>
          <w:szCs w:val="24"/>
          <w:lang w:val="lt-LT"/>
        </w:rPr>
      </w:pPr>
      <w:r w:rsidRPr="00BD7C80">
        <w:rPr>
          <w:sz w:val="24"/>
          <w:szCs w:val="24"/>
          <w:lang w:val="lt-LT"/>
        </w:rPr>
        <w:t xml:space="preserve">„Tokį sprendimą priėmėme suprasdami, kad kartais situacija pasaulyje pasikeičia greičiau nei spėjame grįžti iš atostogų. Net ir turistų pamėgtose šalyse, kurios įprastai laikomos saugiomis, gali būti uždaryta oro erdvė ar atšaukti skrydžiai. Tai ne tik kelia didelį nerimą dėl saugumo, bet paliečia ir finansiškai, kai tenka pratęsti viešnagės viešbutyje laiką ar ieškoti kitų skrydžių bei galimybių grįžti namo. Tokiose situacijose bent jau dėl finansų mūsų klientai galės jaustis ramiau žinodami, kad patirtos išlaidos bus atlygintos“, – sako BTA Draudimo rizikų valdymo departamento direktorė Ana </w:t>
      </w:r>
      <w:proofErr w:type="spellStart"/>
      <w:r w:rsidRPr="00BD7C80">
        <w:rPr>
          <w:sz w:val="24"/>
          <w:szCs w:val="24"/>
          <w:lang w:val="lt-LT"/>
        </w:rPr>
        <w:t>Variakojienė</w:t>
      </w:r>
      <w:proofErr w:type="spellEnd"/>
      <w:r w:rsidRPr="00BD7C80">
        <w:rPr>
          <w:sz w:val="24"/>
          <w:szCs w:val="24"/>
          <w:lang w:val="lt-LT"/>
        </w:rPr>
        <w:t>.</w:t>
      </w:r>
    </w:p>
    <w:p w14:paraId="4B789643" w14:textId="77777777" w:rsidR="00BD7C80" w:rsidRPr="00BD7C80" w:rsidRDefault="00BD7C80" w:rsidP="00BD7C80">
      <w:pPr>
        <w:jc w:val="both"/>
        <w:rPr>
          <w:b/>
          <w:bCs/>
          <w:sz w:val="24"/>
          <w:szCs w:val="24"/>
          <w:lang w:val="lt-LT"/>
        </w:rPr>
      </w:pPr>
      <w:r w:rsidRPr="00BD7C80">
        <w:rPr>
          <w:b/>
          <w:bCs/>
          <w:sz w:val="24"/>
          <w:szCs w:val="24"/>
          <w:lang w:val="lt-LT"/>
        </w:rPr>
        <w:t>Kokiais atvejais papildomos išlaidos gali būti kompensuotos?</w:t>
      </w:r>
    </w:p>
    <w:p w14:paraId="6C296DB7" w14:textId="77777777" w:rsidR="00BD7C80" w:rsidRPr="00BD7C80" w:rsidRDefault="00BD7C80" w:rsidP="00BD7C80">
      <w:pPr>
        <w:jc w:val="both"/>
        <w:rPr>
          <w:sz w:val="24"/>
          <w:szCs w:val="24"/>
          <w:lang w:val="lt-LT"/>
        </w:rPr>
      </w:pPr>
      <w:r w:rsidRPr="00BD7C80">
        <w:rPr>
          <w:sz w:val="24"/>
          <w:szCs w:val="24"/>
          <w:lang w:val="lt-LT"/>
        </w:rPr>
        <w:t xml:space="preserve">A. </w:t>
      </w:r>
      <w:proofErr w:type="spellStart"/>
      <w:r w:rsidRPr="00BD7C80">
        <w:rPr>
          <w:sz w:val="24"/>
          <w:szCs w:val="24"/>
          <w:lang w:val="lt-LT"/>
        </w:rPr>
        <w:t>Variakojienės</w:t>
      </w:r>
      <w:proofErr w:type="spellEnd"/>
      <w:r w:rsidRPr="00BD7C80">
        <w:rPr>
          <w:sz w:val="24"/>
          <w:szCs w:val="24"/>
          <w:lang w:val="lt-LT"/>
        </w:rPr>
        <w:t xml:space="preserve"> teigimu, svarbu atkreipti dėmesį, kad apsauga galioja vykstant į tas šalis, kurios draudimo sutarties sudarymo metu laikomos saugiomis ir nėra įtrauktos į Lietuvos Užsienio reikalų ministerijos rekomenduojamų nevykti šalių sąrašą.</w:t>
      </w:r>
    </w:p>
    <w:p w14:paraId="0C62FC78" w14:textId="77777777" w:rsidR="00BD7C80" w:rsidRPr="00BD7C80" w:rsidRDefault="00BD7C80" w:rsidP="00BD7C80">
      <w:pPr>
        <w:jc w:val="both"/>
        <w:rPr>
          <w:sz w:val="24"/>
          <w:szCs w:val="24"/>
          <w:lang w:val="lt-LT"/>
        </w:rPr>
      </w:pPr>
      <w:r w:rsidRPr="00BD7C80">
        <w:rPr>
          <w:sz w:val="24"/>
          <w:szCs w:val="24"/>
          <w:lang w:val="lt-LT"/>
        </w:rPr>
        <w:t xml:space="preserve">„Tai reiškia, kad jei žmogus išvyksta į šalį, kuri tuo metu laikoma saugia, pavyzdžiui, Kiprą, Turkiją ar Egiptą, tačiau jam jau esant užsienyje situacija pasikeičia – prasideda kariniai veiksmai ar dėl jų uždaroma oro erdvė – draudimas gali padengti papildomas išlaidas, susijusias su grįžimu namo“, – aiškina A. </w:t>
      </w:r>
      <w:proofErr w:type="spellStart"/>
      <w:r w:rsidRPr="00BD7C80">
        <w:rPr>
          <w:sz w:val="24"/>
          <w:szCs w:val="24"/>
          <w:lang w:val="lt-LT"/>
        </w:rPr>
        <w:t>Variakojienė</w:t>
      </w:r>
      <w:proofErr w:type="spellEnd"/>
      <w:r w:rsidRPr="00BD7C80">
        <w:rPr>
          <w:sz w:val="24"/>
          <w:szCs w:val="24"/>
          <w:lang w:val="lt-LT"/>
        </w:rPr>
        <w:t>.</w:t>
      </w:r>
    </w:p>
    <w:p w14:paraId="4C7C4C27" w14:textId="77777777" w:rsidR="00BD7C80" w:rsidRPr="00BD7C80" w:rsidRDefault="00BD7C80" w:rsidP="00BD7C80">
      <w:pPr>
        <w:jc w:val="both"/>
        <w:rPr>
          <w:sz w:val="24"/>
          <w:szCs w:val="24"/>
          <w:lang w:val="lt-LT"/>
        </w:rPr>
      </w:pPr>
      <w:r w:rsidRPr="00BD7C80">
        <w:rPr>
          <w:sz w:val="24"/>
          <w:szCs w:val="24"/>
          <w:lang w:val="lt-LT"/>
        </w:rPr>
        <w:t>Tokiais atvejais draudimo apsauga gali kompensuoti maitinimo ir apgyvendinimo išlaidas, jei dėl susidariusios situacijos tenka ilgiau pasilikti užsienyje, taip pat bilieto pakeitimo ar naujo bilieto įsigijimo į artimiausią galimą skrydį ar kitą transporto priemonę išlaidas.</w:t>
      </w:r>
    </w:p>
    <w:p w14:paraId="578255B9" w14:textId="77777777" w:rsidR="00BD7C80" w:rsidRPr="00BD7C80" w:rsidRDefault="00BD7C80" w:rsidP="00BD7C80">
      <w:pPr>
        <w:jc w:val="both"/>
        <w:rPr>
          <w:sz w:val="24"/>
          <w:szCs w:val="24"/>
          <w:lang w:val="lt-LT"/>
        </w:rPr>
      </w:pPr>
      <w:r w:rsidRPr="00BD7C80">
        <w:rPr>
          <w:sz w:val="24"/>
          <w:szCs w:val="24"/>
          <w:lang w:val="lt-LT"/>
        </w:rPr>
        <w:t xml:space="preserve">Keliautojams sudarant kelionių draudimo sutartį svarbu patikrinti, ar šalis, į kurią planuojate vykti, tuo metu nėra įtraukta į Lietuvos Respublikos Užsienio reikalų ministerijos valstybių, į </w:t>
      </w:r>
      <w:r w:rsidRPr="00BD7C80">
        <w:rPr>
          <w:sz w:val="24"/>
          <w:szCs w:val="24"/>
          <w:lang w:val="lt-LT"/>
        </w:rPr>
        <w:lastRenderedPageBreak/>
        <w:t>kurias rekomenduojama nevykti arba iš kurių rekomenduojama išvykti, sąrašą. Jei tokia rekomendacija jau yra paskelbta sutarties sudarymo dieną, draudimo apsauga nėra taikoma.</w:t>
      </w:r>
    </w:p>
    <w:p w14:paraId="3E1F8714" w14:textId="77777777" w:rsidR="00BD7C80" w:rsidRPr="00BD7C80" w:rsidRDefault="00BD7C80" w:rsidP="00BD7C80">
      <w:pPr>
        <w:jc w:val="both"/>
        <w:rPr>
          <w:sz w:val="24"/>
          <w:szCs w:val="24"/>
          <w:lang w:val="lt-LT"/>
        </w:rPr>
      </w:pPr>
      <w:r w:rsidRPr="00BD7C80">
        <w:rPr>
          <w:sz w:val="24"/>
          <w:szCs w:val="24"/>
          <w:lang w:val="lt-LT"/>
        </w:rPr>
        <w:t xml:space="preserve">Naujausią informaciją ir kelionių saugumo rekomendacijas galima rasti Užsienio reikalų ministerijos svetainėje </w:t>
      </w:r>
      <w:hyperlink r:id="rId6" w:history="1">
        <w:r w:rsidRPr="00BD7C80">
          <w:rPr>
            <w:rStyle w:val="Hyperlink"/>
            <w:sz w:val="24"/>
            <w:szCs w:val="24"/>
            <w:lang w:val="lt-LT"/>
          </w:rPr>
          <w:t>https://keliauk.urm.lt/</w:t>
        </w:r>
      </w:hyperlink>
      <w:r w:rsidRPr="00BD7C80">
        <w:rPr>
          <w:sz w:val="24"/>
          <w:szCs w:val="24"/>
          <w:lang w:val="lt-LT"/>
        </w:rPr>
        <w:t>.</w:t>
      </w:r>
    </w:p>
    <w:p w14:paraId="5A8DE12E" w14:textId="77777777" w:rsidR="00BD7C80" w:rsidRPr="00BD7C80" w:rsidRDefault="00BD7C80" w:rsidP="00BD7C80">
      <w:pPr>
        <w:jc w:val="both"/>
        <w:rPr>
          <w:sz w:val="24"/>
          <w:szCs w:val="24"/>
          <w:lang w:val="lt-LT"/>
        </w:rPr>
      </w:pPr>
      <w:r w:rsidRPr="00BD7C80">
        <w:rPr>
          <w:sz w:val="24"/>
          <w:szCs w:val="24"/>
          <w:lang w:val="lt-LT"/>
        </w:rPr>
        <w:t xml:space="preserve">Nors, pasak A. </w:t>
      </w:r>
      <w:proofErr w:type="spellStart"/>
      <w:r w:rsidRPr="00BD7C80">
        <w:rPr>
          <w:sz w:val="24"/>
          <w:szCs w:val="24"/>
          <w:lang w:val="lt-LT"/>
        </w:rPr>
        <w:t>Variakojienės</w:t>
      </w:r>
      <w:proofErr w:type="spellEnd"/>
      <w:r w:rsidRPr="00BD7C80">
        <w:rPr>
          <w:sz w:val="24"/>
          <w:szCs w:val="24"/>
          <w:lang w:val="lt-LT"/>
        </w:rPr>
        <w:t xml:space="preserve"> draudimas negali apsaugoti nuo geopolitinių įvykių, jis gali padėti sumažinti jų finansines pasekmes.</w:t>
      </w:r>
    </w:p>
    <w:p w14:paraId="10049687" w14:textId="77777777" w:rsidR="00BD7C80" w:rsidRPr="00BD7C80" w:rsidRDefault="00BD7C80" w:rsidP="00BD7C80">
      <w:pPr>
        <w:jc w:val="both"/>
        <w:rPr>
          <w:sz w:val="24"/>
          <w:szCs w:val="24"/>
          <w:lang w:val="lt-LT"/>
        </w:rPr>
      </w:pPr>
      <w:r w:rsidRPr="00BD7C80">
        <w:rPr>
          <w:sz w:val="24"/>
          <w:szCs w:val="24"/>
          <w:lang w:val="lt-LT"/>
        </w:rPr>
        <w:t>„Kai skrydžiai netikėtai atšaukiami ar reikia skubiai keisti grįžimo planus, išlaidos gali labai greitai išaugti – kartais iki kelių šimtų ar net tūkstančių eurų. Tokiose situacijose norisi, kad žmonės galėtų susitelkti į saugų grįžimą namo, o ne sukti galvą, kaip padengti netikėtas išlaidas“, – pažymi BTA Draudimo rizikų valdymo departamento direktorė.</w:t>
      </w:r>
    </w:p>
    <w:p w14:paraId="060B1A65" w14:textId="77777777" w:rsidR="00D33D3A" w:rsidRPr="00BD7C80" w:rsidRDefault="00D33D3A">
      <w:pPr>
        <w:rPr>
          <w:sz w:val="24"/>
          <w:szCs w:val="24"/>
        </w:rPr>
      </w:pPr>
    </w:p>
    <w:sectPr w:rsidR="00D33D3A" w:rsidRPr="00BD7C80" w:rsidSect="005A02E8">
      <w:headerReference w:type="default" r:id="rId7"/>
      <w:headerReference w:type="first" r:id="rId8"/>
      <w:footerReference w:type="first" r:id="rId9"/>
      <w:pgSz w:w="11906" w:h="16838"/>
      <w:pgMar w:top="1134" w:right="1133"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C2627" w14:textId="77777777" w:rsidR="0041226B" w:rsidRDefault="0041226B">
      <w:pPr>
        <w:spacing w:after="0" w:line="240" w:lineRule="auto"/>
      </w:pPr>
      <w:r>
        <w:separator/>
      </w:r>
    </w:p>
  </w:endnote>
  <w:endnote w:type="continuationSeparator" w:id="0">
    <w:p w14:paraId="4932B852" w14:textId="77777777" w:rsidR="0041226B" w:rsidRDefault="0041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85BB9"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8240" behindDoc="1" locked="0" layoutInCell="1" hidden="0" allowOverlap="1" wp14:anchorId="308FE222" wp14:editId="1AE2F09F">
          <wp:simplePos x="0" y="0"/>
          <wp:positionH relativeFrom="column">
            <wp:posOffset>-1183002</wp:posOffset>
          </wp:positionH>
          <wp:positionV relativeFrom="paragraph">
            <wp:posOffset>0</wp:posOffset>
          </wp:positionV>
          <wp:extent cx="7543800" cy="751840"/>
          <wp:effectExtent l="0" t="0" r="0" b="0"/>
          <wp:wrapNone/>
          <wp:docPr id="17832226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543800" cy="751840"/>
                  </a:xfrm>
                  <a:prstGeom prst="rect">
                    <a:avLst/>
                  </a:prstGeom>
                  <a:ln/>
                </pic:spPr>
              </pic:pic>
            </a:graphicData>
          </a:graphic>
        </wp:anchor>
      </w:drawing>
    </w:r>
  </w:p>
  <w:p w14:paraId="410370D2"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D71FE" w14:textId="77777777" w:rsidR="0041226B" w:rsidRDefault="0041226B">
      <w:pPr>
        <w:spacing w:after="0" w:line="240" w:lineRule="auto"/>
      </w:pPr>
      <w:r>
        <w:separator/>
      </w:r>
    </w:p>
  </w:footnote>
  <w:footnote w:type="continuationSeparator" w:id="0">
    <w:p w14:paraId="532885DA" w14:textId="77777777" w:rsidR="0041226B" w:rsidRDefault="00412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F7887" w14:textId="77777777" w:rsidR="005A02E8" w:rsidRDefault="005A02E8">
    <w:pPr>
      <w:pBdr>
        <w:top w:val="nil"/>
        <w:left w:val="nil"/>
        <w:bottom w:val="nil"/>
        <w:right w:val="nil"/>
        <w:between w:val="nil"/>
      </w:pBdr>
      <w:tabs>
        <w:tab w:val="center" w:pos="4819"/>
        <w:tab w:val="right" w:pos="9638"/>
        <w:tab w:val="right" w:pos="9072"/>
      </w:tabs>
      <w:spacing w:after="0" w:line="240" w:lineRule="auto"/>
      <w:ind w:right="707"/>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6ADFD" w14:textId="77777777" w:rsidR="005A02E8" w:rsidRDefault="005A02E8">
    <w:pPr>
      <w:pBdr>
        <w:top w:val="nil"/>
        <w:left w:val="nil"/>
        <w:bottom w:val="nil"/>
        <w:right w:val="nil"/>
        <w:between w:val="nil"/>
      </w:pBdr>
      <w:tabs>
        <w:tab w:val="center" w:pos="4819"/>
        <w:tab w:val="right" w:pos="9638"/>
      </w:tabs>
      <w:spacing w:after="0" w:line="240" w:lineRule="auto"/>
      <w:rPr>
        <w:color w:val="000000"/>
      </w:rPr>
    </w:pPr>
    <w:r>
      <w:rPr>
        <w:noProof/>
      </w:rPr>
      <w:drawing>
        <wp:anchor distT="0" distB="0" distL="0" distR="0" simplePos="0" relativeHeight="251657216" behindDoc="1" locked="0" layoutInCell="1" hidden="0" allowOverlap="1" wp14:anchorId="6FFE6BE2" wp14:editId="0E7DA7BB">
          <wp:simplePos x="0" y="0"/>
          <wp:positionH relativeFrom="column">
            <wp:posOffset>-1188082</wp:posOffset>
          </wp:positionH>
          <wp:positionV relativeFrom="paragraph">
            <wp:posOffset>-467991</wp:posOffset>
          </wp:positionV>
          <wp:extent cx="7764145" cy="1466850"/>
          <wp:effectExtent l="0" t="0" r="0" b="0"/>
          <wp:wrapNone/>
          <wp:docPr id="17832226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64145" cy="146685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2E8"/>
    <w:rsid w:val="00010236"/>
    <w:rsid w:val="000A789A"/>
    <w:rsid w:val="00194408"/>
    <w:rsid w:val="001C49AC"/>
    <w:rsid w:val="002023EE"/>
    <w:rsid w:val="002D7E65"/>
    <w:rsid w:val="003270CE"/>
    <w:rsid w:val="0038022B"/>
    <w:rsid w:val="003E3DEF"/>
    <w:rsid w:val="0041226B"/>
    <w:rsid w:val="004127F7"/>
    <w:rsid w:val="004E7971"/>
    <w:rsid w:val="004F4F43"/>
    <w:rsid w:val="004F7DF0"/>
    <w:rsid w:val="00514141"/>
    <w:rsid w:val="005A02E8"/>
    <w:rsid w:val="005B437F"/>
    <w:rsid w:val="005D1EEF"/>
    <w:rsid w:val="005E2881"/>
    <w:rsid w:val="006D2AB3"/>
    <w:rsid w:val="007851AE"/>
    <w:rsid w:val="007F534A"/>
    <w:rsid w:val="00814CC3"/>
    <w:rsid w:val="008B0492"/>
    <w:rsid w:val="008C5137"/>
    <w:rsid w:val="00901D93"/>
    <w:rsid w:val="00990103"/>
    <w:rsid w:val="00A2005B"/>
    <w:rsid w:val="00AB6B9D"/>
    <w:rsid w:val="00BD268C"/>
    <w:rsid w:val="00BD7C80"/>
    <w:rsid w:val="00C00893"/>
    <w:rsid w:val="00CE7226"/>
    <w:rsid w:val="00CF2603"/>
    <w:rsid w:val="00D33D3A"/>
    <w:rsid w:val="00E91A2D"/>
    <w:rsid w:val="00F021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0F1F9"/>
  <w15:chartTrackingRefBased/>
  <w15:docId w15:val="{D4DF2980-6830-E849-A36A-196BAC57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E8"/>
    <w:pPr>
      <w:spacing w:after="160" w:line="259" w:lineRule="auto"/>
    </w:pPr>
    <w:rPr>
      <w:rFonts w:ascii="Calibri" w:eastAsia="Calibri" w:hAnsi="Calibri" w:cs="Calibri"/>
      <w:kern w:val="0"/>
      <w:sz w:val="22"/>
      <w:szCs w:val="22"/>
      <w:lang w:val="lt" w:eastAsia="lt-LT" w:bidi="lo-LA"/>
      <w14:ligatures w14:val="none"/>
    </w:rPr>
  </w:style>
  <w:style w:type="paragraph" w:styleId="Heading1">
    <w:name w:val="heading 1"/>
    <w:basedOn w:val="Normal"/>
    <w:next w:val="Normal"/>
    <w:link w:val="Heading1Char"/>
    <w:uiPriority w:val="9"/>
    <w:qFormat/>
    <w:rsid w:val="005A02E8"/>
    <w:pPr>
      <w:keepNext/>
      <w:keepLines/>
      <w:spacing w:before="360" w:after="80" w:line="240" w:lineRule="auto"/>
      <w:outlineLvl w:val="0"/>
    </w:pPr>
    <w:rPr>
      <w:rFonts w:asciiTheme="majorHAnsi" w:eastAsiaTheme="majorEastAsia" w:hAnsiTheme="majorHAnsi" w:cstheme="majorBidi"/>
      <w:color w:val="2F5496" w:themeColor="accent1" w:themeShade="BF"/>
      <w:kern w:val="2"/>
      <w:sz w:val="40"/>
      <w:szCs w:val="40"/>
      <w:lang w:eastAsia="en-US" w:bidi="ar-SA"/>
      <w14:ligatures w14:val="standardContextual"/>
    </w:rPr>
  </w:style>
  <w:style w:type="paragraph" w:styleId="Heading2">
    <w:name w:val="heading 2"/>
    <w:basedOn w:val="Normal"/>
    <w:next w:val="Normal"/>
    <w:link w:val="Heading2Char"/>
    <w:uiPriority w:val="9"/>
    <w:semiHidden/>
    <w:unhideWhenUsed/>
    <w:qFormat/>
    <w:rsid w:val="005A02E8"/>
    <w:pPr>
      <w:keepNext/>
      <w:keepLines/>
      <w:spacing w:before="160" w:after="80" w:line="240" w:lineRule="auto"/>
      <w:outlineLvl w:val="1"/>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paragraph" w:styleId="Heading3">
    <w:name w:val="heading 3"/>
    <w:basedOn w:val="Normal"/>
    <w:next w:val="Normal"/>
    <w:link w:val="Heading3Char"/>
    <w:uiPriority w:val="9"/>
    <w:semiHidden/>
    <w:unhideWhenUsed/>
    <w:qFormat/>
    <w:rsid w:val="005A02E8"/>
    <w:pPr>
      <w:keepNext/>
      <w:keepLines/>
      <w:spacing w:before="160" w:after="80" w:line="240" w:lineRule="auto"/>
      <w:outlineLvl w:val="2"/>
    </w:pPr>
    <w:rPr>
      <w:rFonts w:asciiTheme="minorHAnsi" w:eastAsiaTheme="majorEastAsia" w:hAnsiTheme="minorHAnsi" w:cstheme="majorBidi"/>
      <w:color w:val="2F5496" w:themeColor="accent1" w:themeShade="BF"/>
      <w:kern w:val="2"/>
      <w:sz w:val="28"/>
      <w:szCs w:val="28"/>
      <w:lang w:eastAsia="en-US" w:bidi="ar-SA"/>
      <w14:ligatures w14:val="standardContextual"/>
    </w:rPr>
  </w:style>
  <w:style w:type="paragraph" w:styleId="Heading4">
    <w:name w:val="heading 4"/>
    <w:basedOn w:val="Normal"/>
    <w:next w:val="Normal"/>
    <w:link w:val="Heading4Char"/>
    <w:uiPriority w:val="9"/>
    <w:semiHidden/>
    <w:unhideWhenUsed/>
    <w:qFormat/>
    <w:rsid w:val="005A02E8"/>
    <w:pPr>
      <w:keepNext/>
      <w:keepLines/>
      <w:spacing w:before="80" w:after="40" w:line="240" w:lineRule="auto"/>
      <w:outlineLvl w:val="3"/>
    </w:pPr>
    <w:rPr>
      <w:rFonts w:asciiTheme="minorHAnsi" w:eastAsiaTheme="majorEastAsia" w:hAnsiTheme="minorHAnsi" w:cstheme="majorBidi"/>
      <w:i/>
      <w:iCs/>
      <w:color w:val="2F5496" w:themeColor="accent1" w:themeShade="BF"/>
      <w:kern w:val="2"/>
      <w:sz w:val="24"/>
      <w:szCs w:val="24"/>
      <w:lang w:eastAsia="en-US" w:bidi="ar-SA"/>
      <w14:ligatures w14:val="standardContextual"/>
    </w:rPr>
  </w:style>
  <w:style w:type="paragraph" w:styleId="Heading5">
    <w:name w:val="heading 5"/>
    <w:basedOn w:val="Normal"/>
    <w:next w:val="Normal"/>
    <w:link w:val="Heading5Char"/>
    <w:uiPriority w:val="9"/>
    <w:semiHidden/>
    <w:unhideWhenUsed/>
    <w:qFormat/>
    <w:rsid w:val="005A02E8"/>
    <w:pPr>
      <w:keepNext/>
      <w:keepLines/>
      <w:spacing w:before="80" w:after="40" w:line="240" w:lineRule="auto"/>
      <w:outlineLvl w:val="4"/>
    </w:pPr>
    <w:rPr>
      <w:rFonts w:asciiTheme="minorHAnsi" w:eastAsiaTheme="majorEastAsia" w:hAnsiTheme="minorHAnsi" w:cstheme="majorBidi"/>
      <w:color w:val="2F5496" w:themeColor="accent1" w:themeShade="BF"/>
      <w:kern w:val="2"/>
      <w:sz w:val="24"/>
      <w:szCs w:val="24"/>
      <w:lang w:eastAsia="en-US" w:bidi="ar-SA"/>
      <w14:ligatures w14:val="standardContextual"/>
    </w:rPr>
  </w:style>
  <w:style w:type="paragraph" w:styleId="Heading6">
    <w:name w:val="heading 6"/>
    <w:basedOn w:val="Normal"/>
    <w:next w:val="Normal"/>
    <w:link w:val="Heading6Char"/>
    <w:uiPriority w:val="9"/>
    <w:semiHidden/>
    <w:unhideWhenUsed/>
    <w:qFormat/>
    <w:rsid w:val="005A02E8"/>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lang w:eastAsia="en-US" w:bidi="ar-SA"/>
      <w14:ligatures w14:val="standardContextual"/>
    </w:rPr>
  </w:style>
  <w:style w:type="paragraph" w:styleId="Heading7">
    <w:name w:val="heading 7"/>
    <w:basedOn w:val="Normal"/>
    <w:next w:val="Normal"/>
    <w:link w:val="Heading7Char"/>
    <w:uiPriority w:val="9"/>
    <w:semiHidden/>
    <w:unhideWhenUsed/>
    <w:qFormat/>
    <w:rsid w:val="005A02E8"/>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lang w:eastAsia="en-US" w:bidi="ar-SA"/>
      <w14:ligatures w14:val="standardContextual"/>
    </w:rPr>
  </w:style>
  <w:style w:type="paragraph" w:styleId="Heading8">
    <w:name w:val="heading 8"/>
    <w:basedOn w:val="Normal"/>
    <w:next w:val="Normal"/>
    <w:link w:val="Heading8Char"/>
    <w:uiPriority w:val="9"/>
    <w:semiHidden/>
    <w:unhideWhenUsed/>
    <w:qFormat/>
    <w:rsid w:val="005A02E8"/>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lang w:eastAsia="en-US" w:bidi="ar-SA"/>
      <w14:ligatures w14:val="standardContextual"/>
    </w:rPr>
  </w:style>
  <w:style w:type="paragraph" w:styleId="Heading9">
    <w:name w:val="heading 9"/>
    <w:basedOn w:val="Normal"/>
    <w:next w:val="Normal"/>
    <w:link w:val="Heading9Char"/>
    <w:uiPriority w:val="9"/>
    <w:semiHidden/>
    <w:unhideWhenUsed/>
    <w:qFormat/>
    <w:rsid w:val="005A02E8"/>
    <w:pPr>
      <w:keepNext/>
      <w:keepLines/>
      <w:spacing w:after="0" w:line="240" w:lineRule="auto"/>
      <w:outlineLvl w:val="8"/>
    </w:pPr>
    <w:rPr>
      <w:rFonts w:asciiTheme="minorHAnsi" w:eastAsiaTheme="majorEastAsia" w:hAnsiTheme="minorHAnsi" w:cstheme="majorBidi"/>
      <w:color w:val="272727" w:themeColor="text1" w:themeTint="D8"/>
      <w:kern w:val="2"/>
      <w:sz w:val="24"/>
      <w:szCs w:val="24"/>
      <w:lang w:eastAsia="en-US" w:bidi="ar-SA"/>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02E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A02E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A02E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A02E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A02E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A02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02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02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02E8"/>
    <w:rPr>
      <w:rFonts w:eastAsiaTheme="majorEastAsia" w:cstheme="majorBidi"/>
      <w:color w:val="272727" w:themeColor="text1" w:themeTint="D8"/>
    </w:rPr>
  </w:style>
  <w:style w:type="paragraph" w:styleId="Title">
    <w:name w:val="Title"/>
    <w:basedOn w:val="Normal"/>
    <w:next w:val="Normal"/>
    <w:link w:val="TitleChar"/>
    <w:uiPriority w:val="10"/>
    <w:qFormat/>
    <w:rsid w:val="005A02E8"/>
    <w:pPr>
      <w:spacing w:after="80" w:line="240" w:lineRule="auto"/>
      <w:contextualSpacing/>
    </w:pPr>
    <w:rPr>
      <w:rFonts w:asciiTheme="majorHAnsi" w:eastAsiaTheme="majorEastAsia" w:hAnsiTheme="majorHAnsi" w:cstheme="majorBidi"/>
      <w:spacing w:val="-10"/>
      <w:kern w:val="28"/>
      <w:sz w:val="56"/>
      <w:szCs w:val="56"/>
      <w:lang w:eastAsia="en-US" w:bidi="ar-SA"/>
      <w14:ligatures w14:val="standardContextual"/>
    </w:rPr>
  </w:style>
  <w:style w:type="character" w:customStyle="1" w:styleId="TitleChar">
    <w:name w:val="Title Char"/>
    <w:basedOn w:val="DefaultParagraphFont"/>
    <w:link w:val="Title"/>
    <w:uiPriority w:val="10"/>
    <w:rsid w:val="005A02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02E8"/>
    <w:pPr>
      <w:numPr>
        <w:ilvl w:val="1"/>
      </w:numPr>
      <w:spacing w:line="240" w:lineRule="auto"/>
    </w:pPr>
    <w:rPr>
      <w:rFonts w:asciiTheme="minorHAnsi" w:eastAsiaTheme="majorEastAsia" w:hAnsiTheme="minorHAnsi" w:cstheme="majorBidi"/>
      <w:color w:val="595959" w:themeColor="text1" w:themeTint="A6"/>
      <w:spacing w:val="15"/>
      <w:kern w:val="2"/>
      <w:sz w:val="28"/>
      <w:szCs w:val="28"/>
      <w:lang w:eastAsia="en-US" w:bidi="ar-SA"/>
      <w14:ligatures w14:val="standardContextual"/>
    </w:rPr>
  </w:style>
  <w:style w:type="character" w:customStyle="1" w:styleId="SubtitleChar">
    <w:name w:val="Subtitle Char"/>
    <w:basedOn w:val="DefaultParagraphFont"/>
    <w:link w:val="Subtitle"/>
    <w:uiPriority w:val="11"/>
    <w:rsid w:val="005A02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02E8"/>
    <w:pPr>
      <w:spacing w:before="160" w:line="240" w:lineRule="auto"/>
      <w:jc w:val="center"/>
    </w:pPr>
    <w:rPr>
      <w:rFonts w:asciiTheme="minorHAnsi" w:eastAsiaTheme="minorHAnsi" w:hAnsiTheme="minorHAnsi" w:cstheme="minorBidi"/>
      <w:i/>
      <w:iCs/>
      <w:color w:val="404040" w:themeColor="text1" w:themeTint="BF"/>
      <w:kern w:val="2"/>
      <w:sz w:val="24"/>
      <w:szCs w:val="24"/>
      <w:lang w:eastAsia="en-US" w:bidi="ar-SA"/>
      <w14:ligatures w14:val="standardContextual"/>
    </w:rPr>
  </w:style>
  <w:style w:type="character" w:customStyle="1" w:styleId="QuoteChar">
    <w:name w:val="Quote Char"/>
    <w:basedOn w:val="DefaultParagraphFont"/>
    <w:link w:val="Quote"/>
    <w:uiPriority w:val="29"/>
    <w:rsid w:val="005A02E8"/>
    <w:rPr>
      <w:i/>
      <w:iCs/>
      <w:color w:val="404040" w:themeColor="text1" w:themeTint="BF"/>
    </w:rPr>
  </w:style>
  <w:style w:type="paragraph" w:styleId="ListParagraph">
    <w:name w:val="List Paragraph"/>
    <w:basedOn w:val="Normal"/>
    <w:uiPriority w:val="34"/>
    <w:qFormat/>
    <w:rsid w:val="005A02E8"/>
    <w:pPr>
      <w:spacing w:after="0" w:line="240" w:lineRule="auto"/>
      <w:ind w:left="720"/>
      <w:contextualSpacing/>
    </w:pPr>
    <w:rPr>
      <w:rFonts w:asciiTheme="minorHAnsi" w:eastAsiaTheme="minorHAnsi" w:hAnsiTheme="minorHAnsi" w:cstheme="minorBidi"/>
      <w:kern w:val="2"/>
      <w:sz w:val="24"/>
      <w:szCs w:val="24"/>
      <w:lang w:eastAsia="en-US" w:bidi="ar-SA"/>
      <w14:ligatures w14:val="standardContextual"/>
    </w:rPr>
  </w:style>
  <w:style w:type="character" w:styleId="IntenseEmphasis">
    <w:name w:val="Intense Emphasis"/>
    <w:basedOn w:val="DefaultParagraphFont"/>
    <w:uiPriority w:val="21"/>
    <w:qFormat/>
    <w:rsid w:val="005A02E8"/>
    <w:rPr>
      <w:i/>
      <w:iCs/>
      <w:color w:val="2F5496" w:themeColor="accent1" w:themeShade="BF"/>
    </w:rPr>
  </w:style>
  <w:style w:type="paragraph" w:styleId="IntenseQuote">
    <w:name w:val="Intense Quote"/>
    <w:basedOn w:val="Normal"/>
    <w:next w:val="Normal"/>
    <w:link w:val="IntenseQuoteChar"/>
    <w:uiPriority w:val="30"/>
    <w:qFormat/>
    <w:rsid w:val="005A02E8"/>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asciiTheme="minorHAnsi" w:eastAsiaTheme="minorHAnsi" w:hAnsiTheme="minorHAnsi" w:cstheme="minorBidi"/>
      <w:i/>
      <w:iCs/>
      <w:color w:val="2F5496" w:themeColor="accent1" w:themeShade="BF"/>
      <w:kern w:val="2"/>
      <w:sz w:val="24"/>
      <w:szCs w:val="24"/>
      <w:lang w:eastAsia="en-US" w:bidi="ar-SA"/>
      <w14:ligatures w14:val="standardContextual"/>
    </w:rPr>
  </w:style>
  <w:style w:type="character" w:customStyle="1" w:styleId="IntenseQuoteChar">
    <w:name w:val="Intense Quote Char"/>
    <w:basedOn w:val="DefaultParagraphFont"/>
    <w:link w:val="IntenseQuote"/>
    <w:uiPriority w:val="30"/>
    <w:rsid w:val="005A02E8"/>
    <w:rPr>
      <w:i/>
      <w:iCs/>
      <w:color w:val="2F5496" w:themeColor="accent1" w:themeShade="BF"/>
    </w:rPr>
  </w:style>
  <w:style w:type="character" w:styleId="IntenseReference">
    <w:name w:val="Intense Reference"/>
    <w:basedOn w:val="DefaultParagraphFont"/>
    <w:uiPriority w:val="32"/>
    <w:qFormat/>
    <w:rsid w:val="005A02E8"/>
    <w:rPr>
      <w:b/>
      <w:bCs/>
      <w:smallCaps/>
      <w:color w:val="2F5496" w:themeColor="accent1" w:themeShade="BF"/>
      <w:spacing w:val="5"/>
    </w:rPr>
  </w:style>
  <w:style w:type="character" w:styleId="Hyperlink">
    <w:name w:val="Hyperlink"/>
    <w:basedOn w:val="DefaultParagraphFont"/>
    <w:uiPriority w:val="99"/>
    <w:unhideWhenUsed/>
    <w:rsid w:val="00BD7C80"/>
    <w:rPr>
      <w:color w:val="0563C1" w:themeColor="hyperlink"/>
      <w:u w:val="single"/>
    </w:rPr>
  </w:style>
  <w:style w:type="character" w:styleId="UnresolvedMention">
    <w:name w:val="Unresolved Mention"/>
    <w:basedOn w:val="DefaultParagraphFont"/>
    <w:uiPriority w:val="99"/>
    <w:semiHidden/>
    <w:unhideWhenUsed/>
    <w:rsid w:val="00BD7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keliauk.urm.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2387</Words>
  <Characters>1362</Characters>
  <Application>Microsoft Office Word</Application>
  <DocSecurity>0</DocSecurity>
  <Lines>11</Lines>
  <Paragraphs>7</Paragraphs>
  <ScaleCrop>false</ScaleCrop>
  <Company/>
  <LinksUpToDate>false</LinksUpToDate>
  <CharactersWithSpaces>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11</cp:revision>
  <dcterms:created xsi:type="dcterms:W3CDTF">2026-02-20T12:15:00Z</dcterms:created>
  <dcterms:modified xsi:type="dcterms:W3CDTF">2026-03-10T07:19:00Z</dcterms:modified>
</cp:coreProperties>
</file>