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4044" w14:textId="0EEA5C2B" w:rsidR="001F1275" w:rsidRPr="00625B8D" w:rsidRDefault="00625B8D" w:rsidP="001F1275">
      <w:pPr>
        <w:ind w:left="2" w:hangingChars="1" w:hanging="2"/>
        <w:jc w:val="both"/>
        <w:rPr>
          <w:rFonts w:ascii="Verdana" w:eastAsia="Arial Unicode MS" w:hAnsi="Verdana" w:cs="Open Sans"/>
          <w:b/>
          <w:bCs/>
          <w:color w:val="0068A5"/>
          <w:lang w:eastAsia="en-US"/>
        </w:rPr>
      </w:pPr>
      <w:r w:rsidRPr="00625B8D">
        <w:rPr>
          <w:rFonts w:ascii="Verdana" w:eastAsia="Arial Unicode MS" w:hAnsi="Verdana" w:cs="Open Sans"/>
          <w:b/>
          <w:bCs/>
          <w:color w:val="0068A5"/>
          <w:lang w:eastAsia="en-US"/>
        </w:rPr>
        <w:t>„Civinity” perka Vilniaus administravimo įmonę „Admeo“: plės portfelį būsto priežiūros segmente</w:t>
      </w:r>
    </w:p>
    <w:p w14:paraId="50B4714C" w14:textId="0F7223C7" w:rsidR="003B2ADD" w:rsidRPr="00625B8D" w:rsidRDefault="003B2ADD" w:rsidP="00D93BAC">
      <w:pPr>
        <w:spacing w:after="120"/>
        <w:rPr>
          <w:rFonts w:ascii="Verdana" w:eastAsia="Open Sans" w:hAnsi="Verdana" w:cs="Open Sans"/>
          <w:i/>
          <w:iCs/>
          <w:color w:val="000000" w:themeColor="text1"/>
          <w:sz w:val="16"/>
          <w:szCs w:val="16"/>
        </w:rPr>
      </w:pPr>
      <w:r w:rsidRPr="00625B8D">
        <w:rPr>
          <w:rFonts w:ascii="Verdana" w:eastAsia="Open Sans" w:hAnsi="Verdana" w:cs="Open Sans"/>
          <w:i/>
          <w:iCs/>
          <w:color w:val="000000" w:themeColor="text1"/>
          <w:sz w:val="16"/>
          <w:szCs w:val="16"/>
        </w:rPr>
        <w:t>202</w:t>
      </w:r>
      <w:r w:rsidR="00FB7F01" w:rsidRPr="00625B8D">
        <w:rPr>
          <w:rFonts w:ascii="Verdana" w:eastAsia="Open Sans" w:hAnsi="Verdana" w:cs="Open Sans"/>
          <w:i/>
          <w:iCs/>
          <w:color w:val="000000" w:themeColor="text1"/>
          <w:sz w:val="16"/>
          <w:szCs w:val="16"/>
        </w:rPr>
        <w:t>6</w:t>
      </w:r>
      <w:r w:rsidRPr="00625B8D">
        <w:rPr>
          <w:rFonts w:ascii="Verdana" w:eastAsia="Open Sans" w:hAnsi="Verdana" w:cs="Open Sans"/>
          <w:i/>
          <w:iCs/>
          <w:color w:val="000000" w:themeColor="text1"/>
          <w:sz w:val="16"/>
          <w:szCs w:val="16"/>
        </w:rPr>
        <w:t xml:space="preserve"> </w:t>
      </w:r>
      <w:r w:rsidR="00FB7F01" w:rsidRPr="00625B8D">
        <w:rPr>
          <w:rFonts w:ascii="Verdana" w:eastAsia="Open Sans" w:hAnsi="Verdana" w:cs="Open Sans"/>
          <w:i/>
          <w:iCs/>
          <w:color w:val="000000" w:themeColor="text1"/>
          <w:sz w:val="16"/>
          <w:szCs w:val="16"/>
        </w:rPr>
        <w:t>0</w:t>
      </w:r>
      <w:r w:rsidR="00BB0D04">
        <w:rPr>
          <w:rFonts w:ascii="Verdana" w:eastAsia="Open Sans" w:hAnsi="Verdana" w:cs="Open Sans"/>
          <w:i/>
          <w:iCs/>
          <w:color w:val="000000" w:themeColor="text1"/>
          <w:sz w:val="16"/>
          <w:szCs w:val="16"/>
        </w:rPr>
        <w:t>3 31</w:t>
      </w:r>
    </w:p>
    <w:p w14:paraId="7A169E64" w14:textId="77777777" w:rsidR="003D046C" w:rsidRPr="00625B8D" w:rsidRDefault="003D046C" w:rsidP="003D046C">
      <w:pPr>
        <w:spacing w:after="120"/>
        <w:jc w:val="both"/>
        <w:rPr>
          <w:rFonts w:ascii="Verdana" w:eastAsia="Open Sans" w:hAnsi="Verdana" w:cs="Open Sans"/>
          <w:b/>
          <w:bCs/>
          <w:sz w:val="18"/>
          <w:szCs w:val="18"/>
        </w:rPr>
      </w:pPr>
    </w:p>
    <w:p w14:paraId="62B6ADA1" w14:textId="77777777" w:rsidR="00625B8D" w:rsidRPr="00625B8D" w:rsidRDefault="00625B8D" w:rsidP="00625B8D">
      <w:pPr>
        <w:spacing w:after="120"/>
        <w:ind w:left="-1" w:hanging="2"/>
        <w:jc w:val="both"/>
        <w:rPr>
          <w:rFonts w:ascii="Verdana" w:eastAsia="Open Sans" w:hAnsi="Verdana" w:cs="Open Sans"/>
          <w:b/>
          <w:bCs/>
          <w:sz w:val="18"/>
          <w:szCs w:val="18"/>
        </w:rPr>
      </w:pPr>
      <w:r w:rsidRPr="00625B8D">
        <w:rPr>
          <w:rFonts w:ascii="Verdana" w:eastAsia="Open Sans" w:hAnsi="Verdana" w:cs="Open Sans"/>
          <w:b/>
          <w:bCs/>
          <w:sz w:val="18"/>
          <w:szCs w:val="18"/>
        </w:rPr>
        <w:t>Pastatų priežiūros paslaugas teikianti, inžinerinius ir technologinius sprendimus kurianti „Civinity“ įmonių grupė pasirašė 100 proc. akcijų paketo pirkimo sutartį dėl pastatų administravimo įmonės „Admeo“ įsigijimo.</w:t>
      </w:r>
    </w:p>
    <w:p w14:paraId="152FD37B" w14:textId="77777777" w:rsidR="00625B8D" w:rsidRPr="00625B8D" w:rsidRDefault="00625B8D" w:rsidP="00625B8D">
      <w:pPr>
        <w:spacing w:after="120"/>
        <w:ind w:left="-1" w:hanging="2"/>
        <w:jc w:val="both"/>
        <w:rPr>
          <w:rFonts w:ascii="Verdana" w:eastAsia="Open Sans" w:hAnsi="Verdana" w:cs="Open Sans"/>
          <w:sz w:val="18"/>
          <w:szCs w:val="18"/>
        </w:rPr>
      </w:pPr>
      <w:r w:rsidRPr="00625B8D">
        <w:rPr>
          <w:rFonts w:ascii="Verdana" w:eastAsia="Open Sans" w:hAnsi="Verdana" w:cs="Open Sans"/>
          <w:sz w:val="18"/>
          <w:szCs w:val="18"/>
        </w:rPr>
        <w:t>„Admeo“ pastatų administravimo ir priežiūros paslaugas teikia nuo 2012 m. ir orientuojasi į kvalifikuotą bei kokybišką visų paslaugų teikimą, aukštą klientų aptarnavimo kokybę, ypatingą dėmesį skiria gedimų, avarijų prevencijai, namų šilumos energijos vartojimo ekonomiškumui ir efektyvumui. Įmonėje yra įdiegta pažangi defektų registravimo ir kontrolės sistema.</w:t>
      </w:r>
    </w:p>
    <w:p w14:paraId="66D0CEED" w14:textId="77777777" w:rsidR="00625B8D" w:rsidRPr="00625B8D" w:rsidRDefault="00625B8D" w:rsidP="00625B8D">
      <w:pPr>
        <w:spacing w:after="120"/>
        <w:ind w:left="-1" w:hanging="2"/>
        <w:jc w:val="both"/>
        <w:rPr>
          <w:rFonts w:ascii="Verdana" w:eastAsia="Open Sans" w:hAnsi="Verdana" w:cs="Open Sans"/>
          <w:sz w:val="18"/>
          <w:szCs w:val="18"/>
        </w:rPr>
      </w:pPr>
      <w:r w:rsidRPr="00625B8D">
        <w:rPr>
          <w:rFonts w:ascii="Verdana" w:eastAsia="Open Sans" w:hAnsi="Verdana" w:cs="Open Sans"/>
          <w:sz w:val="18"/>
          <w:szCs w:val="18"/>
        </w:rPr>
        <w:t>„Admeo“ dirba 15 darbuotojų, kurie prižiūri ir administruoja apie 140 daugiabučių namų bei komercinių pastatų Vilniuje; įmonės pardavimo pajamos 2024 m. siekė beveik 2,7 mln. Eur.</w:t>
      </w:r>
    </w:p>
    <w:p w14:paraId="739F519B" w14:textId="77777777" w:rsidR="00625B8D" w:rsidRPr="00625B8D" w:rsidRDefault="00625B8D" w:rsidP="00625B8D">
      <w:pPr>
        <w:spacing w:after="120"/>
        <w:ind w:left="-1" w:hanging="2"/>
        <w:jc w:val="both"/>
        <w:rPr>
          <w:rFonts w:ascii="Verdana" w:eastAsia="Open Sans" w:hAnsi="Verdana" w:cs="Open Sans"/>
          <w:sz w:val="18"/>
          <w:szCs w:val="18"/>
        </w:rPr>
      </w:pPr>
      <w:r w:rsidRPr="00625B8D">
        <w:rPr>
          <w:rFonts w:ascii="Verdana" w:eastAsia="Open Sans" w:hAnsi="Verdana" w:cs="Open Sans"/>
          <w:sz w:val="18"/>
          <w:szCs w:val="18"/>
        </w:rPr>
        <w:t>„Būsto priežiūros ir administravimo segmentas mums yra strategiškai svarbus, nes jis būtinas daugumai miestiečių – be būsto priežiūros neišsiverčia joks daugiabutis namas. „Admeo“ matome kaip profesionalią komandą, su kuria galime toliau auginti daugiabučių priežiūros portfelį“, – sako „Civinity“ valdybos pirmininkas Deividas Jacka.</w:t>
      </w:r>
    </w:p>
    <w:p w14:paraId="420A9CA6" w14:textId="77777777" w:rsidR="00625B8D" w:rsidRPr="00625B8D" w:rsidRDefault="00625B8D" w:rsidP="00625B8D">
      <w:pPr>
        <w:spacing w:after="120"/>
        <w:ind w:left="-1" w:hanging="2"/>
        <w:jc w:val="both"/>
        <w:rPr>
          <w:rFonts w:ascii="Verdana" w:eastAsia="Open Sans" w:hAnsi="Verdana" w:cs="Open Sans"/>
          <w:sz w:val="18"/>
          <w:szCs w:val="18"/>
        </w:rPr>
      </w:pPr>
      <w:r w:rsidRPr="00625B8D">
        <w:rPr>
          <w:rFonts w:ascii="Verdana" w:eastAsia="Open Sans" w:hAnsi="Verdana" w:cs="Open Sans"/>
          <w:sz w:val="18"/>
          <w:szCs w:val="18"/>
        </w:rPr>
        <w:t>Kadangi sandoris yra vykdomas įsigyjant akcijas, po sutarties pasirašymo „Civinity“ kreipsis į Konkurencijos tarybą. Sandoris bus užbaigtas institucijai įvertinus planuojamą koncentraciją ir priėmus teigiamą sprendimą.</w:t>
      </w:r>
    </w:p>
    <w:p w14:paraId="2C285104" w14:textId="28938175" w:rsidR="00625B8D" w:rsidRPr="00625B8D" w:rsidRDefault="00625B8D" w:rsidP="00625B8D">
      <w:pPr>
        <w:spacing w:after="120"/>
        <w:ind w:left="-1" w:hanging="2"/>
        <w:jc w:val="both"/>
        <w:rPr>
          <w:rFonts w:ascii="Verdana" w:eastAsia="Open Sans" w:hAnsi="Verdana" w:cs="Open Sans"/>
          <w:b/>
          <w:bCs/>
          <w:sz w:val="18"/>
          <w:szCs w:val="18"/>
        </w:rPr>
      </w:pPr>
      <w:r w:rsidRPr="00625B8D">
        <w:rPr>
          <w:rFonts w:ascii="Verdana" w:eastAsia="Open Sans" w:hAnsi="Verdana" w:cs="Open Sans"/>
          <w:b/>
          <w:bCs/>
          <w:sz w:val="18"/>
          <w:szCs w:val="18"/>
        </w:rPr>
        <w:t xml:space="preserve">Sandoris </w:t>
      </w:r>
      <w:r>
        <w:rPr>
          <w:rFonts w:ascii="Verdana" w:eastAsia="Open Sans" w:hAnsi="Verdana" w:cs="Open Sans"/>
          <w:b/>
          <w:bCs/>
          <w:sz w:val="18"/>
          <w:szCs w:val="18"/>
        </w:rPr>
        <w:t>–</w:t>
      </w:r>
      <w:r w:rsidRPr="00625B8D">
        <w:rPr>
          <w:rFonts w:ascii="Verdana" w:eastAsia="Open Sans" w:hAnsi="Verdana" w:cs="Open Sans"/>
          <w:b/>
          <w:bCs/>
          <w:sz w:val="18"/>
          <w:szCs w:val="18"/>
        </w:rPr>
        <w:t xml:space="preserve"> didesnės augimo strategijos dalis</w:t>
      </w:r>
    </w:p>
    <w:p w14:paraId="21B8CF96" w14:textId="77777777" w:rsidR="00625B8D" w:rsidRPr="00625B8D" w:rsidRDefault="00625B8D" w:rsidP="00625B8D">
      <w:pPr>
        <w:spacing w:after="120"/>
        <w:ind w:left="-1" w:hanging="2"/>
        <w:jc w:val="both"/>
        <w:rPr>
          <w:rFonts w:ascii="Verdana" w:eastAsia="Open Sans" w:hAnsi="Verdana" w:cs="Open Sans"/>
          <w:sz w:val="18"/>
          <w:szCs w:val="18"/>
        </w:rPr>
      </w:pPr>
      <w:r w:rsidRPr="00625B8D">
        <w:rPr>
          <w:rFonts w:ascii="Verdana" w:eastAsia="Open Sans" w:hAnsi="Verdana" w:cs="Open Sans"/>
          <w:sz w:val="18"/>
          <w:szCs w:val="18"/>
        </w:rPr>
        <w:t>Pasak „Civinity“ valdybos pirmininko, šis sandoris – pirmasis šiemet, tačiau 2026 metais jų planuojama įgyvendinti net iki dešimties.</w:t>
      </w:r>
    </w:p>
    <w:p w14:paraId="4A006BC2" w14:textId="77777777" w:rsidR="00625B8D" w:rsidRPr="00625B8D" w:rsidRDefault="00625B8D" w:rsidP="00625B8D">
      <w:pPr>
        <w:spacing w:after="120"/>
        <w:ind w:left="-1" w:hanging="2"/>
        <w:jc w:val="both"/>
        <w:rPr>
          <w:rFonts w:ascii="Verdana" w:eastAsia="Open Sans" w:hAnsi="Verdana" w:cs="Open Sans"/>
          <w:sz w:val="18"/>
          <w:szCs w:val="18"/>
        </w:rPr>
      </w:pPr>
      <w:r w:rsidRPr="00625B8D">
        <w:rPr>
          <w:rFonts w:ascii="Verdana" w:eastAsia="Open Sans" w:hAnsi="Verdana" w:cs="Open Sans"/>
          <w:sz w:val="18"/>
          <w:szCs w:val="18"/>
        </w:rPr>
        <w:t>„Įsigijimo sandoriai yra dalis „Civinity“ DNR – jau daugiau nei du dešimtmečius augame tiek per juos, tiek organiškai. Šis sandoris – žingsnis didinant rinkos dalį ir pelningumą būsto priežiūros segmente. Kiti šiemet planuojami sandoriai apims ir kitus verslo segmentus, įskaitant skaitmeninius verslus, ir leis toliau sparčiai augti tiek namų, tiek naujose rinkose“, – komentuoja D. Jacka.</w:t>
      </w:r>
    </w:p>
    <w:p w14:paraId="0D32C925" w14:textId="4F412F32" w:rsidR="00625B8D" w:rsidRPr="00625B8D" w:rsidRDefault="00625B8D" w:rsidP="00625B8D">
      <w:pPr>
        <w:spacing w:after="120"/>
        <w:ind w:left="-1" w:hanging="2"/>
        <w:jc w:val="both"/>
        <w:rPr>
          <w:rFonts w:ascii="Verdana" w:eastAsia="Open Sans" w:hAnsi="Verdana" w:cs="Open Sans"/>
          <w:sz w:val="18"/>
          <w:szCs w:val="18"/>
        </w:rPr>
      </w:pPr>
      <w:r w:rsidRPr="00625B8D">
        <w:rPr>
          <w:rFonts w:ascii="Verdana" w:eastAsia="Open Sans" w:hAnsi="Verdana" w:cs="Open Sans"/>
          <w:sz w:val="18"/>
          <w:szCs w:val="18"/>
        </w:rPr>
        <w:t>Būtent įsigijimo sandoriams finansuoti 2025 metais įmonių grupei Lietuvos bankas patvirtino 50 mln. Eur vertės obligacijų prospektą, pagal kurį praėjusiais metais grupė sėkmingai išplatino pirmąją – 10,35 mln. Eur vertės – emisijos dalį.</w:t>
      </w:r>
    </w:p>
    <w:p w14:paraId="705B57D8" w14:textId="7C04FF21" w:rsidR="00625B8D" w:rsidRPr="00625B8D" w:rsidRDefault="00625B8D" w:rsidP="00625B8D">
      <w:pPr>
        <w:spacing w:after="120"/>
        <w:ind w:left="-1" w:hanging="2"/>
        <w:jc w:val="both"/>
        <w:rPr>
          <w:rFonts w:ascii="Verdana" w:eastAsia="Open Sans" w:hAnsi="Verdana" w:cs="Open Sans"/>
          <w:sz w:val="18"/>
          <w:szCs w:val="18"/>
        </w:rPr>
      </w:pPr>
      <w:r w:rsidRPr="00625B8D">
        <w:rPr>
          <w:rFonts w:ascii="Verdana" w:eastAsia="Open Sans" w:hAnsi="Verdana" w:cs="Open Sans"/>
          <w:sz w:val="18"/>
          <w:szCs w:val="18"/>
        </w:rPr>
        <w:t xml:space="preserve">Naujojoje grupės strategijoje numatytas tikslas per artimiausius 5 metus augti 10 kartų. Šis tikslas žymi perėjimą nuo vien tik tradicinių paslaugų, tokių kaip </w:t>
      </w:r>
      <w:r>
        <w:rPr>
          <w:rFonts w:ascii="Verdana" w:eastAsia="Open Sans" w:hAnsi="Verdana" w:cs="Open Sans"/>
          <w:sz w:val="18"/>
          <w:szCs w:val="18"/>
        </w:rPr>
        <w:t>gyvenamųjų namų</w:t>
      </w:r>
      <w:r w:rsidRPr="00625B8D">
        <w:rPr>
          <w:rFonts w:ascii="Verdana" w:eastAsia="Open Sans" w:hAnsi="Verdana" w:cs="Open Sans"/>
          <w:sz w:val="18"/>
          <w:szCs w:val="18"/>
        </w:rPr>
        <w:t xml:space="preserve"> priežiūra, teikimo prie mišraus modelio, kuriame tradicinis verslas veikia greta sparčiau augančių skaitmeninių verslų.</w:t>
      </w:r>
    </w:p>
    <w:p w14:paraId="7B45FDA4" w14:textId="5FA16B35" w:rsidR="00625B8D" w:rsidRPr="00625B8D" w:rsidRDefault="00625B8D" w:rsidP="00625B8D">
      <w:pPr>
        <w:spacing w:after="120"/>
        <w:ind w:left="-1" w:hanging="2"/>
        <w:jc w:val="both"/>
        <w:rPr>
          <w:rFonts w:ascii="Verdana" w:eastAsia="Open Sans" w:hAnsi="Verdana" w:cs="Open Sans"/>
          <w:sz w:val="18"/>
          <w:szCs w:val="18"/>
        </w:rPr>
      </w:pPr>
      <w:bookmarkStart w:id="0" w:name="OLE_LINK12"/>
      <w:r w:rsidRPr="00625B8D">
        <w:rPr>
          <w:rFonts w:ascii="Verdana" w:eastAsia="Open Sans" w:hAnsi="Verdana" w:cs="Open Sans"/>
          <w:sz w:val="18"/>
          <w:szCs w:val="18"/>
        </w:rPr>
        <w:t>„Civinity“ obligacijas viešai ir neviešai platina nuo 2017 metų. Pirmoji vieša 8 mln. eurų vertės obligacijų emisija buvo išplatinta 2021 metais, įtraukiant obligacijas į „Nasdaq Vilnius“ administruojamą alternatyviąją vertybinių popierių rinką „</w:t>
      </w:r>
      <w:proofErr w:type="spellStart"/>
      <w:r w:rsidRPr="00625B8D">
        <w:rPr>
          <w:rFonts w:ascii="Verdana" w:eastAsia="Open Sans" w:hAnsi="Verdana" w:cs="Open Sans"/>
          <w:sz w:val="18"/>
          <w:szCs w:val="18"/>
        </w:rPr>
        <w:t>First</w:t>
      </w:r>
      <w:proofErr w:type="spellEnd"/>
      <w:r w:rsidRPr="00625B8D">
        <w:rPr>
          <w:rFonts w:ascii="Verdana" w:eastAsia="Open Sans" w:hAnsi="Verdana" w:cs="Open Sans"/>
          <w:sz w:val="18"/>
          <w:szCs w:val="18"/>
        </w:rPr>
        <w:t xml:space="preserve"> </w:t>
      </w:r>
      <w:proofErr w:type="spellStart"/>
      <w:r w:rsidRPr="00625B8D">
        <w:rPr>
          <w:rFonts w:ascii="Verdana" w:eastAsia="Open Sans" w:hAnsi="Verdana" w:cs="Open Sans"/>
          <w:sz w:val="18"/>
          <w:szCs w:val="18"/>
        </w:rPr>
        <w:t>North</w:t>
      </w:r>
      <w:proofErr w:type="spellEnd"/>
      <w:r w:rsidRPr="00625B8D">
        <w:rPr>
          <w:rFonts w:ascii="Verdana" w:eastAsia="Open Sans" w:hAnsi="Verdana" w:cs="Open Sans"/>
          <w:sz w:val="18"/>
          <w:szCs w:val="18"/>
        </w:rPr>
        <w:t xml:space="preserve">“. Šiuo metu įmonių grupės obligacijos </w:t>
      </w:r>
      <w:proofErr w:type="spellStart"/>
      <w:r w:rsidRPr="00625B8D">
        <w:rPr>
          <w:rFonts w:ascii="Verdana" w:eastAsia="Open Sans" w:hAnsi="Verdana" w:cs="Open Sans"/>
          <w:sz w:val="18"/>
          <w:szCs w:val="18"/>
        </w:rPr>
        <w:t>listinguojamos</w:t>
      </w:r>
      <w:proofErr w:type="spellEnd"/>
      <w:r w:rsidRPr="00625B8D">
        <w:rPr>
          <w:rFonts w:ascii="Verdana" w:eastAsia="Open Sans" w:hAnsi="Verdana" w:cs="Open Sans"/>
          <w:sz w:val="18"/>
          <w:szCs w:val="18"/>
        </w:rPr>
        <w:t xml:space="preserve"> „</w:t>
      </w:r>
      <w:proofErr w:type="spellStart"/>
      <w:r w:rsidRPr="00625B8D">
        <w:rPr>
          <w:rFonts w:ascii="Verdana" w:eastAsia="Open Sans" w:hAnsi="Verdana" w:cs="Open Sans"/>
          <w:sz w:val="18"/>
          <w:szCs w:val="18"/>
        </w:rPr>
        <w:t>Nasdaq</w:t>
      </w:r>
      <w:proofErr w:type="spellEnd"/>
      <w:r w:rsidRPr="00625B8D">
        <w:rPr>
          <w:rFonts w:ascii="Verdana" w:eastAsia="Open Sans" w:hAnsi="Verdana" w:cs="Open Sans"/>
          <w:sz w:val="18"/>
          <w:szCs w:val="18"/>
        </w:rPr>
        <w:t xml:space="preserve"> Baltic“ reguliuojamoje rinkoje.</w:t>
      </w:r>
    </w:p>
    <w:bookmarkEnd w:id="0"/>
    <w:p w14:paraId="4720664D" w14:textId="77777777" w:rsidR="00625B8D" w:rsidRPr="00625B8D" w:rsidRDefault="00625B8D" w:rsidP="00625B8D">
      <w:pPr>
        <w:spacing w:after="120"/>
        <w:ind w:left="-1" w:hanging="2"/>
        <w:jc w:val="both"/>
        <w:rPr>
          <w:rFonts w:ascii="Verdana" w:eastAsia="Open Sans" w:hAnsi="Verdana" w:cs="Open Sans"/>
          <w:b/>
          <w:bCs/>
          <w:sz w:val="18"/>
          <w:szCs w:val="18"/>
        </w:rPr>
      </w:pPr>
      <w:r w:rsidRPr="00625B8D">
        <w:rPr>
          <w:rFonts w:ascii="Verdana" w:eastAsia="Open Sans" w:hAnsi="Verdana" w:cs="Open Sans"/>
          <w:b/>
          <w:bCs/>
          <w:sz w:val="18"/>
          <w:szCs w:val="18"/>
        </w:rPr>
        <w:t>Tęstinumas: klientams sutartys išlieka, prekės ženklas iš karto nesikeis; darbuotojams – daugiau galimybių augti</w:t>
      </w:r>
    </w:p>
    <w:p w14:paraId="41017D33" w14:textId="77777777" w:rsidR="00625B8D" w:rsidRPr="00625B8D" w:rsidRDefault="00625B8D" w:rsidP="00625B8D">
      <w:pPr>
        <w:spacing w:after="120"/>
        <w:ind w:left="-1" w:hanging="2"/>
        <w:jc w:val="both"/>
        <w:rPr>
          <w:rFonts w:ascii="Verdana" w:eastAsia="Open Sans" w:hAnsi="Verdana" w:cs="Open Sans"/>
          <w:sz w:val="18"/>
          <w:szCs w:val="18"/>
        </w:rPr>
      </w:pPr>
      <w:r w:rsidRPr="00625B8D">
        <w:rPr>
          <w:rFonts w:ascii="Verdana" w:eastAsia="Open Sans" w:hAnsi="Verdana" w:cs="Open Sans"/>
          <w:sz w:val="18"/>
          <w:szCs w:val="18"/>
        </w:rPr>
        <w:t>Po sandorio užbaigimo „Admeo“ bus integruojama į grupės veiklos procesus, tačiau iš karto prekės ženklas nebus keičiamas. Taip siekiama užtikrinti paslaugų tęstinumą, aiškumą klientams ir sklandų perėjimą prie bendrų grupės standartų.</w:t>
      </w:r>
    </w:p>
    <w:p w14:paraId="712CF693" w14:textId="77777777" w:rsidR="00625B8D" w:rsidRPr="00625B8D" w:rsidRDefault="00625B8D" w:rsidP="00625B8D">
      <w:pPr>
        <w:spacing w:after="120"/>
        <w:ind w:left="-1" w:hanging="2"/>
        <w:jc w:val="both"/>
        <w:rPr>
          <w:rFonts w:ascii="Verdana" w:eastAsia="Open Sans" w:hAnsi="Verdana" w:cs="Open Sans"/>
          <w:sz w:val="18"/>
          <w:szCs w:val="18"/>
        </w:rPr>
      </w:pPr>
      <w:r w:rsidRPr="00625B8D">
        <w:rPr>
          <w:rFonts w:ascii="Verdana" w:eastAsia="Open Sans" w:hAnsi="Verdana" w:cs="Open Sans"/>
          <w:sz w:val="18"/>
          <w:szCs w:val="18"/>
        </w:rPr>
        <w:t>Planuojama, kad „Admeo“ darbuotojai toliau tęs darbą įmonėje, o organizaciniai sprendimai bus priimami siekiant išlaikyti kompetencijas ir užtikrinti stabilumą.</w:t>
      </w:r>
    </w:p>
    <w:p w14:paraId="64FC5891" w14:textId="77777777" w:rsidR="00625B8D" w:rsidRPr="00625B8D" w:rsidRDefault="00625B8D" w:rsidP="00625B8D">
      <w:pPr>
        <w:spacing w:after="120"/>
        <w:ind w:left="-1" w:hanging="2"/>
        <w:jc w:val="both"/>
        <w:rPr>
          <w:rFonts w:ascii="Verdana" w:eastAsia="Open Sans" w:hAnsi="Verdana" w:cs="Open Sans"/>
          <w:sz w:val="18"/>
          <w:szCs w:val="18"/>
        </w:rPr>
      </w:pPr>
      <w:r w:rsidRPr="00625B8D">
        <w:rPr>
          <w:rFonts w:ascii="Verdana" w:eastAsia="Open Sans" w:hAnsi="Verdana" w:cs="Open Sans"/>
          <w:sz w:val="18"/>
          <w:szCs w:val="18"/>
        </w:rPr>
        <w:t xml:space="preserve">„Civinity“ grupėje „Admeo“ darbuotojams atsiras daugiau galimybių – dalintis patirtimi su kitomis komandomis, augti </w:t>
      </w:r>
      <w:proofErr w:type="spellStart"/>
      <w:r w:rsidRPr="00625B8D">
        <w:rPr>
          <w:rFonts w:ascii="Verdana" w:eastAsia="Open Sans" w:hAnsi="Verdana" w:cs="Open Sans"/>
          <w:sz w:val="18"/>
          <w:szCs w:val="18"/>
        </w:rPr>
        <w:t>profesiškai</w:t>
      </w:r>
      <w:proofErr w:type="spellEnd"/>
      <w:r w:rsidRPr="00625B8D">
        <w:rPr>
          <w:rFonts w:ascii="Verdana" w:eastAsia="Open Sans" w:hAnsi="Verdana" w:cs="Open Sans"/>
          <w:sz w:val="18"/>
          <w:szCs w:val="18"/>
        </w:rPr>
        <w:t>, turėti aiškesnes procedūras ir platesnį vidinių kompetencijų tinklą.</w:t>
      </w:r>
    </w:p>
    <w:p w14:paraId="3FDE938F" w14:textId="77777777" w:rsidR="00625B8D" w:rsidRPr="00625B8D" w:rsidRDefault="00625B8D" w:rsidP="00625B8D">
      <w:pPr>
        <w:spacing w:after="120"/>
        <w:ind w:left="-1" w:hanging="2"/>
        <w:jc w:val="both"/>
        <w:rPr>
          <w:rFonts w:ascii="Verdana" w:eastAsia="Open Sans" w:hAnsi="Verdana" w:cs="Open Sans"/>
          <w:sz w:val="18"/>
          <w:szCs w:val="18"/>
        </w:rPr>
      </w:pPr>
      <w:r w:rsidRPr="00625B8D">
        <w:rPr>
          <w:rFonts w:ascii="Verdana" w:eastAsia="Open Sans" w:hAnsi="Verdana" w:cs="Open Sans"/>
          <w:sz w:val="18"/>
          <w:szCs w:val="18"/>
        </w:rPr>
        <w:t>„Pastatų administravimas nėra vien dokumentai ar sąskaitos – tai kasdienė vadyba, kur svarbiausia disciplina, greitis ir atsakomybė. Todėl mums labai svarbu išlaikyti žmones ir jų patirtį, o jiems didelėje organizacijoje atsiras daugiau erdvės specializacijai, mokymams, kompetencijų gilinimui ir karjeros keliams“, – sako „Civinity“ valdybos pirmininkas.</w:t>
      </w:r>
    </w:p>
    <w:p w14:paraId="31A5363D" w14:textId="350D0337" w:rsidR="00625B8D" w:rsidRPr="00625B8D" w:rsidRDefault="00625B8D" w:rsidP="00625B8D">
      <w:pPr>
        <w:spacing w:after="120"/>
        <w:ind w:left="-1" w:hanging="2"/>
        <w:jc w:val="both"/>
        <w:rPr>
          <w:rFonts w:ascii="Verdana" w:eastAsia="Open Sans" w:hAnsi="Verdana" w:cs="Open Sans"/>
          <w:b/>
          <w:bCs/>
          <w:sz w:val="18"/>
          <w:szCs w:val="18"/>
        </w:rPr>
      </w:pPr>
      <w:r w:rsidRPr="00625B8D">
        <w:rPr>
          <w:rFonts w:ascii="Verdana" w:eastAsia="Open Sans" w:hAnsi="Verdana" w:cs="Open Sans"/>
          <w:b/>
          <w:bCs/>
          <w:sz w:val="18"/>
          <w:szCs w:val="18"/>
        </w:rPr>
        <w:t>Apie „Civinity“</w:t>
      </w:r>
    </w:p>
    <w:p w14:paraId="4AA50555" w14:textId="2A1E8D3D" w:rsidR="00726E64" w:rsidRPr="00625B8D" w:rsidRDefault="00625B8D" w:rsidP="00625B8D">
      <w:pPr>
        <w:spacing w:after="120"/>
        <w:jc w:val="both"/>
        <w:rPr>
          <w:rFonts w:ascii="Verdana" w:eastAsia="Open Sans" w:hAnsi="Verdana" w:cs="Open Sans"/>
          <w:sz w:val="18"/>
          <w:szCs w:val="18"/>
        </w:rPr>
      </w:pPr>
      <w:r w:rsidRPr="00625B8D">
        <w:rPr>
          <w:rFonts w:ascii="Verdana" w:eastAsia="Open Sans" w:hAnsi="Verdana" w:cs="Open Sans"/>
          <w:sz w:val="18"/>
          <w:szCs w:val="18"/>
        </w:rPr>
        <w:t>„Civinity“ – pastatų priežiūros paslaugas teikiančius, inžinerinius ir technologinius sprendimus kuriančius verslus Baltijos šalyse ir Didžiojoje Britanijoje jungianti grupė. Grupę sudaro apie 40 įmonių, jose dirba per 1 600 darbuotojų. 2024 m. „Civinity“ pajamos siekė 88,5 mln. Eur, o pro forma EBITDA – 7,4 mln. Eur.</w:t>
      </w:r>
    </w:p>
    <w:p w14:paraId="37CA5DB7" w14:textId="77777777" w:rsidR="00726E64" w:rsidRPr="00625B8D" w:rsidRDefault="00726E64" w:rsidP="00726E64">
      <w:pPr>
        <w:pBdr>
          <w:bottom w:val="single" w:sz="6" w:space="1" w:color="0068A5"/>
        </w:pBdr>
        <w:spacing w:after="120"/>
        <w:ind w:left="-1" w:hanging="2"/>
        <w:jc w:val="both"/>
        <w:rPr>
          <w:rFonts w:ascii="Verdana" w:eastAsia="Open Sans" w:hAnsi="Verdana" w:cs="Open Sans"/>
          <w:sz w:val="18"/>
          <w:szCs w:val="18"/>
        </w:rPr>
      </w:pPr>
    </w:p>
    <w:p w14:paraId="1FA62CFD" w14:textId="0AE40BE1" w:rsidR="0050066A" w:rsidRPr="00625B8D" w:rsidRDefault="00726E64" w:rsidP="00726E64">
      <w:pPr>
        <w:spacing w:after="120"/>
        <w:jc w:val="both"/>
        <w:rPr>
          <w:rFonts w:ascii="Verdana" w:eastAsia="Open Sans" w:hAnsi="Verdana" w:cs="Open Sans"/>
          <w:color w:val="3A3A3A" w:themeColor="background2" w:themeShade="40"/>
          <w:sz w:val="16"/>
          <w:szCs w:val="16"/>
        </w:rPr>
      </w:pPr>
      <w:r w:rsidRPr="00625B8D">
        <w:rPr>
          <w:rFonts w:ascii="Verdana" w:eastAsia="Open Sans" w:hAnsi="Verdana" w:cs="Open Sans"/>
          <w:b/>
          <w:bCs/>
          <w:color w:val="3A3A3A" w:themeColor="background2" w:themeShade="40"/>
          <w:sz w:val="16"/>
          <w:szCs w:val="16"/>
        </w:rPr>
        <w:lastRenderedPageBreak/>
        <w:t>Dau</w:t>
      </w:r>
      <w:r w:rsidR="0050066A" w:rsidRPr="00625B8D">
        <w:rPr>
          <w:rFonts w:ascii="Verdana" w:eastAsia="Open Sans" w:hAnsi="Verdana" w:cs="Open Sans"/>
          <w:b/>
          <w:bCs/>
          <w:color w:val="3A3A3A" w:themeColor="background2" w:themeShade="40"/>
          <w:sz w:val="16"/>
          <w:szCs w:val="16"/>
        </w:rPr>
        <w:t>giau informacijos:</w:t>
      </w:r>
    </w:p>
    <w:p w14:paraId="4518B123" w14:textId="77777777" w:rsidR="0050066A" w:rsidRPr="00625B8D" w:rsidRDefault="0050066A" w:rsidP="0050066A">
      <w:pPr>
        <w:ind w:left="-6"/>
        <w:rPr>
          <w:rFonts w:ascii="Verdana" w:eastAsia="Open Sans" w:hAnsi="Verdana" w:cs="Open Sans"/>
          <w:color w:val="3A3A3A" w:themeColor="background2" w:themeShade="40"/>
          <w:sz w:val="16"/>
          <w:szCs w:val="16"/>
        </w:rPr>
      </w:pPr>
      <w:r w:rsidRPr="00625B8D">
        <w:rPr>
          <w:rFonts w:ascii="Verdana" w:eastAsia="Open Sans" w:hAnsi="Verdana" w:cs="Open Sans"/>
          <w:color w:val="3A3A3A" w:themeColor="background2" w:themeShade="40"/>
          <w:sz w:val="16"/>
          <w:szCs w:val="16"/>
        </w:rPr>
        <w:t>Rytas Stalnionis</w:t>
      </w:r>
    </w:p>
    <w:p w14:paraId="5F5073A4" w14:textId="77777777" w:rsidR="0050066A" w:rsidRPr="00625B8D" w:rsidRDefault="0050066A" w:rsidP="0050066A">
      <w:pPr>
        <w:ind w:left="-6"/>
        <w:rPr>
          <w:rFonts w:ascii="Verdana" w:eastAsia="Open Sans" w:hAnsi="Verdana" w:cs="Open Sans"/>
          <w:color w:val="3A3A3A" w:themeColor="background2" w:themeShade="40"/>
          <w:sz w:val="16"/>
          <w:szCs w:val="16"/>
        </w:rPr>
      </w:pPr>
      <w:r w:rsidRPr="00625B8D">
        <w:rPr>
          <w:rFonts w:ascii="Verdana" w:eastAsia="Open Sans" w:hAnsi="Verdana" w:cs="Open Sans"/>
          <w:color w:val="3A3A3A" w:themeColor="background2" w:themeShade="40"/>
          <w:sz w:val="16"/>
          <w:szCs w:val="16"/>
        </w:rPr>
        <w:t>Strateginės komunikacijos vadovas</w:t>
      </w:r>
    </w:p>
    <w:p w14:paraId="2C7131F2" w14:textId="77777777" w:rsidR="0050066A" w:rsidRPr="00625B8D" w:rsidRDefault="0050066A" w:rsidP="0050066A">
      <w:pPr>
        <w:ind w:left="-6"/>
        <w:rPr>
          <w:rFonts w:ascii="Verdana" w:eastAsia="Open Sans" w:hAnsi="Verdana" w:cs="Open Sans"/>
          <w:color w:val="3A3A3A" w:themeColor="background2" w:themeShade="40"/>
          <w:sz w:val="16"/>
          <w:szCs w:val="16"/>
        </w:rPr>
      </w:pPr>
      <w:r w:rsidRPr="00625B8D">
        <w:rPr>
          <w:rFonts w:ascii="Verdana" w:eastAsia="Open Sans" w:hAnsi="Verdana" w:cs="Open Sans"/>
          <w:color w:val="3A3A3A" w:themeColor="background2" w:themeShade="40"/>
          <w:sz w:val="16"/>
          <w:szCs w:val="16"/>
        </w:rPr>
        <w:t>Tel.: +370 614 01 829</w:t>
      </w:r>
    </w:p>
    <w:p w14:paraId="0D95E2D0" w14:textId="77777777" w:rsidR="0050066A" w:rsidRPr="00625B8D" w:rsidRDefault="0050066A" w:rsidP="0050066A">
      <w:pPr>
        <w:ind w:left="-6"/>
        <w:rPr>
          <w:rFonts w:ascii="Verdana" w:eastAsia="Open Sans" w:hAnsi="Verdana" w:cs="Open Sans"/>
          <w:color w:val="3A3A3A" w:themeColor="background2" w:themeShade="40"/>
          <w:sz w:val="16"/>
          <w:szCs w:val="16"/>
        </w:rPr>
      </w:pPr>
      <w:r w:rsidRPr="00625B8D">
        <w:rPr>
          <w:rFonts w:ascii="Verdana" w:eastAsia="Open Sans" w:hAnsi="Verdana" w:cs="Open Sans"/>
          <w:color w:val="3A3A3A" w:themeColor="background2" w:themeShade="40"/>
          <w:sz w:val="16"/>
          <w:szCs w:val="16"/>
        </w:rPr>
        <w:t xml:space="preserve">El. paštas </w:t>
      </w:r>
      <w:hyperlink r:id="rId10" w:history="1">
        <w:r w:rsidRPr="00625B8D">
          <w:rPr>
            <w:rStyle w:val="Hyperlink"/>
            <w:rFonts w:ascii="Verdana" w:eastAsia="Open Sans" w:hAnsi="Verdana" w:cs="Open Sans"/>
            <w:b/>
            <w:bCs/>
            <w:color w:val="3A3A3A" w:themeColor="background2" w:themeShade="40"/>
            <w:sz w:val="16"/>
            <w:szCs w:val="16"/>
            <w:u w:val="none"/>
          </w:rPr>
          <w:t>rytas.stalnionis@civinity.com</w:t>
        </w:r>
      </w:hyperlink>
    </w:p>
    <w:p w14:paraId="27FEAE10" w14:textId="250BD7CF" w:rsidR="00712657" w:rsidRPr="00625B8D" w:rsidRDefault="00712657" w:rsidP="0050066A">
      <w:pPr>
        <w:ind w:left="-6"/>
        <w:rPr>
          <w:rFonts w:ascii="Verdana" w:eastAsia="Open Sans" w:hAnsi="Verdana" w:cs="Open Sans"/>
          <w:color w:val="3A3A3A" w:themeColor="background2" w:themeShade="40"/>
          <w:sz w:val="16"/>
          <w:szCs w:val="16"/>
        </w:rPr>
      </w:pPr>
      <w:hyperlink r:id="rId11" w:history="1">
        <w:r w:rsidRPr="00625B8D">
          <w:rPr>
            <w:rStyle w:val="Hyperlink"/>
            <w:rFonts w:ascii="Verdana" w:eastAsia="Open Sans" w:hAnsi="Verdana" w:cs="Open Sans"/>
            <w:b/>
            <w:bCs/>
            <w:sz w:val="16"/>
            <w:szCs w:val="16"/>
          </w:rPr>
          <w:t>www.civinity.com</w:t>
        </w:r>
      </w:hyperlink>
    </w:p>
    <w:sectPr w:rsidR="00712657" w:rsidRPr="00625B8D" w:rsidSect="00C706B9">
      <w:headerReference w:type="default" r:id="rId12"/>
      <w:pgSz w:w="11900" w:h="16840"/>
      <w:pgMar w:top="964" w:right="567" w:bottom="567" w:left="1134" w:header="1412"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A2687" w14:textId="77777777" w:rsidR="00B44F51" w:rsidRDefault="00B44F51">
      <w:r>
        <w:separator/>
      </w:r>
    </w:p>
  </w:endnote>
  <w:endnote w:type="continuationSeparator" w:id="0">
    <w:p w14:paraId="3EE6BF6D" w14:textId="77777777" w:rsidR="00B44F51" w:rsidRDefault="00B44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A9B1A" w14:textId="77777777" w:rsidR="00B44F51" w:rsidRDefault="00B44F51">
      <w:r>
        <w:separator/>
      </w:r>
    </w:p>
  </w:footnote>
  <w:footnote w:type="continuationSeparator" w:id="0">
    <w:p w14:paraId="42246F78" w14:textId="77777777" w:rsidR="00B44F51" w:rsidRDefault="00B44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1E78" w14:textId="77777777" w:rsidR="00684C9E" w:rsidRDefault="00684C9E" w:rsidP="001A3BF4">
    <w:pPr>
      <w:pStyle w:val="Header"/>
      <w:tabs>
        <w:tab w:val="clear" w:pos="8640"/>
        <w:tab w:val="left" w:pos="8520"/>
        <w:tab w:val="right" w:pos="9000"/>
      </w:tabs>
    </w:pPr>
    <w:r>
      <w:rPr>
        <w:noProof/>
      </w:rPr>
      <w:drawing>
        <wp:anchor distT="0" distB="0" distL="114300" distR="114300" simplePos="0" relativeHeight="251659264" behindDoc="0" locked="0" layoutInCell="1" allowOverlap="1" wp14:anchorId="589EB0F2" wp14:editId="590059C7">
          <wp:simplePos x="0" y="0"/>
          <wp:positionH relativeFrom="column">
            <wp:posOffset>4729057</wp:posOffset>
          </wp:positionH>
          <wp:positionV relativeFrom="paragraph">
            <wp:posOffset>-728980</wp:posOffset>
          </wp:positionV>
          <wp:extent cx="2159000" cy="927100"/>
          <wp:effectExtent l="0" t="0" r="0" b="0"/>
          <wp:wrapNone/>
          <wp:docPr id="1916752413" name="Picture 19167524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59000" cy="927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61F31"/>
    <w:multiLevelType w:val="multilevel"/>
    <w:tmpl w:val="A2CE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7119A8"/>
    <w:multiLevelType w:val="multilevel"/>
    <w:tmpl w:val="D1F4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74308B4"/>
    <w:multiLevelType w:val="multilevel"/>
    <w:tmpl w:val="0CB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43826">
    <w:abstractNumId w:val="2"/>
  </w:num>
  <w:num w:numId="2" w16cid:durableId="1858958588">
    <w:abstractNumId w:val="1"/>
  </w:num>
  <w:num w:numId="3" w16cid:durableId="1935092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9E"/>
    <w:rsid w:val="00001AFA"/>
    <w:rsid w:val="00020B1B"/>
    <w:rsid w:val="0004204D"/>
    <w:rsid w:val="000636A0"/>
    <w:rsid w:val="0006387A"/>
    <w:rsid w:val="0006602E"/>
    <w:rsid w:val="00077104"/>
    <w:rsid w:val="00084BE5"/>
    <w:rsid w:val="000D12A5"/>
    <w:rsid w:val="000E0DAE"/>
    <w:rsid w:val="000F2D31"/>
    <w:rsid w:val="001454E0"/>
    <w:rsid w:val="0015136E"/>
    <w:rsid w:val="00161834"/>
    <w:rsid w:val="001A656C"/>
    <w:rsid w:val="001C1789"/>
    <w:rsid w:val="001E2CD3"/>
    <w:rsid w:val="001F1275"/>
    <w:rsid w:val="001F729E"/>
    <w:rsid w:val="00204317"/>
    <w:rsid w:val="002061FB"/>
    <w:rsid w:val="00226E4E"/>
    <w:rsid w:val="002419CE"/>
    <w:rsid w:val="00253753"/>
    <w:rsid w:val="002A32B2"/>
    <w:rsid w:val="002E1EA8"/>
    <w:rsid w:val="002E5A29"/>
    <w:rsid w:val="002E7B5A"/>
    <w:rsid w:val="003004DC"/>
    <w:rsid w:val="003013F1"/>
    <w:rsid w:val="00302387"/>
    <w:rsid w:val="00305611"/>
    <w:rsid w:val="00317A87"/>
    <w:rsid w:val="00321751"/>
    <w:rsid w:val="00356019"/>
    <w:rsid w:val="00362F87"/>
    <w:rsid w:val="00365D5B"/>
    <w:rsid w:val="00367E47"/>
    <w:rsid w:val="003B2ADD"/>
    <w:rsid w:val="003C003B"/>
    <w:rsid w:val="003D046C"/>
    <w:rsid w:val="003F2B29"/>
    <w:rsid w:val="00450A97"/>
    <w:rsid w:val="00455384"/>
    <w:rsid w:val="004E63E6"/>
    <w:rsid w:val="004F0C36"/>
    <w:rsid w:val="0050066A"/>
    <w:rsid w:val="005058C5"/>
    <w:rsid w:val="005217E7"/>
    <w:rsid w:val="005612B6"/>
    <w:rsid w:val="005779B4"/>
    <w:rsid w:val="00625B8D"/>
    <w:rsid w:val="00680D9A"/>
    <w:rsid w:val="00684C9E"/>
    <w:rsid w:val="00697F56"/>
    <w:rsid w:val="006A0558"/>
    <w:rsid w:val="006B5FD6"/>
    <w:rsid w:val="006D1050"/>
    <w:rsid w:val="006E0169"/>
    <w:rsid w:val="006F45AB"/>
    <w:rsid w:val="006F7D20"/>
    <w:rsid w:val="00712657"/>
    <w:rsid w:val="00726E64"/>
    <w:rsid w:val="00793557"/>
    <w:rsid w:val="00794B19"/>
    <w:rsid w:val="007A7121"/>
    <w:rsid w:val="007B5E90"/>
    <w:rsid w:val="007B7543"/>
    <w:rsid w:val="007C7484"/>
    <w:rsid w:val="007D2C46"/>
    <w:rsid w:val="00804227"/>
    <w:rsid w:val="00821DBF"/>
    <w:rsid w:val="00867743"/>
    <w:rsid w:val="00874CE8"/>
    <w:rsid w:val="008818F6"/>
    <w:rsid w:val="008863B1"/>
    <w:rsid w:val="00891115"/>
    <w:rsid w:val="008A6E34"/>
    <w:rsid w:val="008B5E99"/>
    <w:rsid w:val="008C0A1D"/>
    <w:rsid w:val="008C0ECA"/>
    <w:rsid w:val="008E2FB4"/>
    <w:rsid w:val="00926C92"/>
    <w:rsid w:val="009419C1"/>
    <w:rsid w:val="0094232A"/>
    <w:rsid w:val="00944237"/>
    <w:rsid w:val="0094659E"/>
    <w:rsid w:val="009544C8"/>
    <w:rsid w:val="009701F5"/>
    <w:rsid w:val="00993572"/>
    <w:rsid w:val="009939E1"/>
    <w:rsid w:val="009A2925"/>
    <w:rsid w:val="009B19C8"/>
    <w:rsid w:val="009B70E2"/>
    <w:rsid w:val="009C4598"/>
    <w:rsid w:val="009C5A68"/>
    <w:rsid w:val="009C7F3F"/>
    <w:rsid w:val="009D01FC"/>
    <w:rsid w:val="009D5414"/>
    <w:rsid w:val="009D7835"/>
    <w:rsid w:val="009E643F"/>
    <w:rsid w:val="009F6837"/>
    <w:rsid w:val="00A059C7"/>
    <w:rsid w:val="00A10F6B"/>
    <w:rsid w:val="00A62E12"/>
    <w:rsid w:val="00A6317E"/>
    <w:rsid w:val="00A74C69"/>
    <w:rsid w:val="00A9149D"/>
    <w:rsid w:val="00AC306B"/>
    <w:rsid w:val="00AE335E"/>
    <w:rsid w:val="00AF70A2"/>
    <w:rsid w:val="00B44F51"/>
    <w:rsid w:val="00B50D18"/>
    <w:rsid w:val="00B876F0"/>
    <w:rsid w:val="00BA47BD"/>
    <w:rsid w:val="00BB0D04"/>
    <w:rsid w:val="00BC2221"/>
    <w:rsid w:val="00BC4DA1"/>
    <w:rsid w:val="00BF4B80"/>
    <w:rsid w:val="00BF6B8A"/>
    <w:rsid w:val="00C32916"/>
    <w:rsid w:val="00C706B9"/>
    <w:rsid w:val="00C91765"/>
    <w:rsid w:val="00CA3006"/>
    <w:rsid w:val="00CB2058"/>
    <w:rsid w:val="00CE1293"/>
    <w:rsid w:val="00D43EC1"/>
    <w:rsid w:val="00D53E3A"/>
    <w:rsid w:val="00D82DAC"/>
    <w:rsid w:val="00D93BAC"/>
    <w:rsid w:val="00DC305D"/>
    <w:rsid w:val="00DC67DB"/>
    <w:rsid w:val="00DF62A5"/>
    <w:rsid w:val="00E12571"/>
    <w:rsid w:val="00E5309B"/>
    <w:rsid w:val="00E6086B"/>
    <w:rsid w:val="00E72F4E"/>
    <w:rsid w:val="00E869B0"/>
    <w:rsid w:val="00E9154B"/>
    <w:rsid w:val="00ED432F"/>
    <w:rsid w:val="00EE5181"/>
    <w:rsid w:val="00F408AA"/>
    <w:rsid w:val="00F461C9"/>
    <w:rsid w:val="00F614FB"/>
    <w:rsid w:val="00F90C9A"/>
    <w:rsid w:val="00FA7DD6"/>
    <w:rsid w:val="00FB7F01"/>
    <w:rsid w:val="00FC38EB"/>
    <w:rsid w:val="00FC7AC6"/>
    <w:rsid w:val="00FD415B"/>
    <w:rsid w:val="00FF3924"/>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3A1"/>
  <w15:chartTrackingRefBased/>
  <w15:docId w15:val="{2C4A9441-EC2C-4B02-BC06-E3D9762F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C9E"/>
    <w:pPr>
      <w:spacing w:after="0" w:line="240" w:lineRule="auto"/>
    </w:pPr>
    <w:rPr>
      <w:rFonts w:ascii="Times New Roman" w:eastAsia="Times New Roman" w:hAnsi="Times New Roman" w:cs="Times New Roman"/>
      <w:kern w:val="0"/>
      <w:lang w:val="lt-LT" w:eastAsia="en-GB"/>
      <w14:ligatures w14:val="none"/>
    </w:rPr>
  </w:style>
  <w:style w:type="paragraph" w:styleId="Heading1">
    <w:name w:val="heading 1"/>
    <w:basedOn w:val="Normal"/>
    <w:next w:val="Normal"/>
    <w:link w:val="Heading1Char"/>
    <w:uiPriority w:val="9"/>
    <w:qFormat/>
    <w:rsid w:val="0068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C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C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C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C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C9E"/>
    <w:rPr>
      <w:rFonts w:eastAsiaTheme="majorEastAsia" w:cstheme="majorBidi"/>
      <w:color w:val="272727" w:themeColor="text1" w:themeTint="D8"/>
    </w:rPr>
  </w:style>
  <w:style w:type="paragraph" w:styleId="Title">
    <w:name w:val="Title"/>
    <w:basedOn w:val="Normal"/>
    <w:next w:val="Normal"/>
    <w:link w:val="TitleChar"/>
    <w:uiPriority w:val="10"/>
    <w:qFormat/>
    <w:rsid w:val="00684C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C9E"/>
    <w:pPr>
      <w:spacing w:before="160"/>
      <w:jc w:val="center"/>
    </w:pPr>
    <w:rPr>
      <w:i/>
      <w:iCs/>
      <w:color w:val="404040" w:themeColor="text1" w:themeTint="BF"/>
    </w:rPr>
  </w:style>
  <w:style w:type="character" w:customStyle="1" w:styleId="QuoteChar">
    <w:name w:val="Quote Char"/>
    <w:basedOn w:val="DefaultParagraphFont"/>
    <w:link w:val="Quote"/>
    <w:uiPriority w:val="29"/>
    <w:rsid w:val="00684C9E"/>
    <w:rPr>
      <w:i/>
      <w:iCs/>
      <w:color w:val="404040" w:themeColor="text1" w:themeTint="BF"/>
    </w:rPr>
  </w:style>
  <w:style w:type="paragraph" w:styleId="ListParagraph">
    <w:name w:val="List Paragraph"/>
    <w:basedOn w:val="Normal"/>
    <w:uiPriority w:val="34"/>
    <w:qFormat/>
    <w:rsid w:val="00684C9E"/>
    <w:pPr>
      <w:ind w:left="720"/>
      <w:contextualSpacing/>
    </w:pPr>
  </w:style>
  <w:style w:type="character" w:styleId="IntenseEmphasis">
    <w:name w:val="Intense Emphasis"/>
    <w:basedOn w:val="DefaultParagraphFont"/>
    <w:uiPriority w:val="21"/>
    <w:qFormat/>
    <w:rsid w:val="00684C9E"/>
    <w:rPr>
      <w:i/>
      <w:iCs/>
      <w:color w:val="0F4761" w:themeColor="accent1" w:themeShade="BF"/>
    </w:rPr>
  </w:style>
  <w:style w:type="paragraph" w:styleId="IntenseQuote">
    <w:name w:val="Intense Quote"/>
    <w:basedOn w:val="Normal"/>
    <w:next w:val="Normal"/>
    <w:link w:val="IntenseQuoteChar"/>
    <w:uiPriority w:val="30"/>
    <w:qFormat/>
    <w:rsid w:val="0068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C9E"/>
    <w:rPr>
      <w:i/>
      <w:iCs/>
      <w:color w:val="0F4761" w:themeColor="accent1" w:themeShade="BF"/>
    </w:rPr>
  </w:style>
  <w:style w:type="character" w:styleId="IntenseReference">
    <w:name w:val="Intense Reference"/>
    <w:basedOn w:val="DefaultParagraphFont"/>
    <w:uiPriority w:val="32"/>
    <w:qFormat/>
    <w:rsid w:val="00684C9E"/>
    <w:rPr>
      <w:b/>
      <w:bCs/>
      <w:smallCaps/>
      <w:color w:val="0F4761" w:themeColor="accent1" w:themeShade="BF"/>
      <w:spacing w:val="5"/>
    </w:rPr>
  </w:style>
  <w:style w:type="paragraph" w:styleId="Header">
    <w:name w:val="header"/>
    <w:link w:val="HeaderChar"/>
    <w:rsid w:val="00684C9E"/>
    <w:pPr>
      <w:pBdr>
        <w:top w:val="nil"/>
        <w:left w:val="nil"/>
        <w:bottom w:val="nil"/>
        <w:right w:val="nil"/>
        <w:between w:val="nil"/>
        <w:bar w:val="nil"/>
      </w:pBdr>
      <w:tabs>
        <w:tab w:val="center" w:pos="4320"/>
        <w:tab w:val="right" w:pos="8640"/>
      </w:tabs>
      <w:spacing w:after="0" w:line="240" w:lineRule="auto"/>
    </w:pPr>
    <w:rPr>
      <w:rFonts w:ascii="Arial" w:eastAsia="Arial Unicode MS" w:hAnsi="Arial" w:cs="Arial Unicode MS"/>
      <w:color w:val="000000"/>
      <w:kern w:val="0"/>
      <w:sz w:val="28"/>
      <w:szCs w:val="28"/>
      <w:u w:color="000000"/>
      <w:bdr w:val="nil"/>
      <w:lang w:eastAsia="en-GB"/>
      <w14:ligatures w14:val="none"/>
    </w:rPr>
  </w:style>
  <w:style w:type="character" w:customStyle="1" w:styleId="HeaderChar">
    <w:name w:val="Header Char"/>
    <w:basedOn w:val="DefaultParagraphFont"/>
    <w:link w:val="Header"/>
    <w:rsid w:val="00684C9E"/>
    <w:rPr>
      <w:rFonts w:ascii="Arial" w:eastAsia="Arial Unicode MS" w:hAnsi="Arial" w:cs="Arial Unicode MS"/>
      <w:color w:val="000000"/>
      <w:kern w:val="0"/>
      <w:sz w:val="28"/>
      <w:szCs w:val="28"/>
      <w:u w:color="000000"/>
      <w:bdr w:val="nil"/>
      <w:lang w:eastAsia="en-GB"/>
      <w14:ligatures w14:val="none"/>
    </w:rPr>
  </w:style>
  <w:style w:type="character" w:styleId="CommentReference">
    <w:name w:val="annotation reference"/>
    <w:basedOn w:val="DefaultParagraphFont"/>
    <w:uiPriority w:val="99"/>
    <w:semiHidden/>
    <w:unhideWhenUsed/>
    <w:rsid w:val="00684C9E"/>
    <w:rPr>
      <w:sz w:val="16"/>
      <w:szCs w:val="16"/>
    </w:rPr>
  </w:style>
  <w:style w:type="paragraph" w:styleId="CommentText">
    <w:name w:val="annotation text"/>
    <w:basedOn w:val="Normal"/>
    <w:link w:val="CommentTextChar"/>
    <w:uiPriority w:val="99"/>
    <w:unhideWhenUsed/>
    <w:rsid w:val="00684C9E"/>
    <w:rPr>
      <w:sz w:val="20"/>
      <w:szCs w:val="20"/>
    </w:rPr>
  </w:style>
  <w:style w:type="character" w:customStyle="1" w:styleId="CommentTextChar">
    <w:name w:val="Comment Text Char"/>
    <w:basedOn w:val="DefaultParagraphFont"/>
    <w:link w:val="CommentText"/>
    <w:uiPriority w:val="99"/>
    <w:rsid w:val="00684C9E"/>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9939E1"/>
    <w:rPr>
      <w:b/>
      <w:bCs/>
    </w:rPr>
  </w:style>
  <w:style w:type="character" w:customStyle="1" w:styleId="CommentSubjectChar">
    <w:name w:val="Comment Subject Char"/>
    <w:basedOn w:val="CommentTextChar"/>
    <w:link w:val="CommentSubject"/>
    <w:uiPriority w:val="99"/>
    <w:semiHidden/>
    <w:rsid w:val="009939E1"/>
    <w:rPr>
      <w:rFonts w:ascii="Times New Roman" w:eastAsia="Times New Roman" w:hAnsi="Times New Roman" w:cs="Times New Roman"/>
      <w:b/>
      <w:bCs/>
      <w:kern w:val="0"/>
      <w:sz w:val="20"/>
      <w:szCs w:val="20"/>
      <w:lang w:val="lt-LT" w:eastAsia="en-GB"/>
      <w14:ligatures w14:val="none"/>
    </w:rPr>
  </w:style>
  <w:style w:type="paragraph" w:styleId="Footer">
    <w:name w:val="footer"/>
    <w:basedOn w:val="Normal"/>
    <w:link w:val="FooterChar"/>
    <w:uiPriority w:val="99"/>
    <w:unhideWhenUsed/>
    <w:rsid w:val="007A7121"/>
    <w:pPr>
      <w:tabs>
        <w:tab w:val="center" w:pos="4986"/>
        <w:tab w:val="right" w:pos="9972"/>
      </w:tabs>
    </w:pPr>
  </w:style>
  <w:style w:type="character" w:customStyle="1" w:styleId="FooterChar">
    <w:name w:val="Footer Char"/>
    <w:basedOn w:val="DefaultParagraphFont"/>
    <w:link w:val="Footer"/>
    <w:uiPriority w:val="99"/>
    <w:rsid w:val="007A7121"/>
    <w:rPr>
      <w:rFonts w:ascii="Times New Roman" w:eastAsia="Times New Roman" w:hAnsi="Times New Roman" w:cs="Times New Roman"/>
      <w:kern w:val="0"/>
      <w:lang w:val="lt-LT" w:eastAsia="en-GB"/>
      <w14:ligatures w14:val="none"/>
    </w:rPr>
  </w:style>
  <w:style w:type="character" w:styleId="Hyperlink">
    <w:name w:val="Hyperlink"/>
    <w:basedOn w:val="DefaultParagraphFont"/>
    <w:uiPriority w:val="99"/>
    <w:unhideWhenUsed/>
    <w:rsid w:val="001A656C"/>
    <w:rPr>
      <w:color w:val="467886" w:themeColor="hyperlink"/>
      <w:u w:val="single"/>
    </w:rPr>
  </w:style>
  <w:style w:type="character" w:styleId="UnresolvedMention">
    <w:name w:val="Unresolved Mention"/>
    <w:basedOn w:val="DefaultParagraphFont"/>
    <w:uiPriority w:val="99"/>
    <w:semiHidden/>
    <w:unhideWhenUsed/>
    <w:rsid w:val="001A656C"/>
    <w:rPr>
      <w:color w:val="605E5C"/>
      <w:shd w:val="clear" w:color="auto" w:fill="E1DFDD"/>
    </w:rPr>
  </w:style>
  <w:style w:type="character" w:styleId="FollowedHyperlink">
    <w:name w:val="FollowedHyperlink"/>
    <w:basedOn w:val="DefaultParagraphFont"/>
    <w:uiPriority w:val="99"/>
    <w:semiHidden/>
    <w:unhideWhenUsed/>
    <w:rsid w:val="001A65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ivinity.com" TargetMode="External"/><Relationship Id="rId5" Type="http://schemas.openxmlformats.org/officeDocument/2006/relationships/styles" Target="styles.xml"/><Relationship Id="rId10" Type="http://schemas.openxmlformats.org/officeDocument/2006/relationships/hyperlink" Target="mailto:rytas.stalnionis@civinit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2AF3E7654A3489DF6DE5BB2AF60F7" ma:contentTypeVersion="19" ma:contentTypeDescription="Create a new document." ma:contentTypeScope="" ma:versionID="1083029d6e8f5a4877e818b65c3912af">
  <xsd:schema xmlns:xsd="http://www.w3.org/2001/XMLSchema" xmlns:xs="http://www.w3.org/2001/XMLSchema" xmlns:p="http://schemas.microsoft.com/office/2006/metadata/properties" xmlns:ns2="a535669d-0663-4387-bae0-6ea0c3264922" xmlns:ns3="2ba21608-f91c-4eb5-8082-9ab83ac1d5cf" targetNamespace="http://schemas.microsoft.com/office/2006/metadata/properties" ma:root="true" ma:fieldsID="88ba2da0b1fd8b7e79f52c91674faf9a" ns2:_="" ns3:_="">
    <xsd:import namespace="a535669d-0663-4387-bae0-6ea0c3264922"/>
    <xsd:import namespace="2ba21608-f91c-4eb5-8082-9ab83ac1d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5669d-0663-4387-bae0-6ea0c32649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235f53-df4a-411c-9c60-9d53a5abdc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21608-f91c-4eb5-8082-9ab83ac1d5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2d8bd97-8ed6-49f6-ac1e-2108976a5909}" ma:internalName="TaxCatchAll" ma:showField="CatchAllData" ma:web="2ba21608-f91c-4eb5-8082-9ab83ac1d5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ba21608-f91c-4eb5-8082-9ab83ac1d5cf" xsi:nil="true"/>
    <lcf76f155ced4ddcb4097134ff3c332f xmlns="a535669d-0663-4387-bae0-6ea0c32649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2A9071-F6F6-4EE6-A3D4-63D0A714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5669d-0663-4387-bae0-6ea0c3264922"/>
    <ds:schemaRef ds:uri="2ba21608-f91c-4eb5-8082-9ab83ac1d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13EFC-3297-40E4-A977-34C30EC3D48E}">
  <ds:schemaRefs>
    <ds:schemaRef ds:uri="http://schemas.microsoft.com/office/2006/metadata/properties"/>
    <ds:schemaRef ds:uri="http://schemas.microsoft.com/office/infopath/2007/PartnerControls"/>
    <ds:schemaRef ds:uri="2ba21608-f91c-4eb5-8082-9ab83ac1d5cf"/>
    <ds:schemaRef ds:uri="a535669d-0663-4387-bae0-6ea0c3264922"/>
  </ds:schemaRefs>
</ds:datastoreItem>
</file>

<file path=customXml/itemProps3.xml><?xml version="1.0" encoding="utf-8"?>
<ds:datastoreItem xmlns:ds="http://schemas.openxmlformats.org/officeDocument/2006/customXml" ds:itemID="{3A8FFE5C-D2E4-4330-8738-F6503366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 - Žarnauskė</dc:creator>
  <cp:keywords/>
  <dc:description/>
  <cp:lastModifiedBy>Rytas Stalnionis</cp:lastModifiedBy>
  <cp:revision>3</cp:revision>
  <dcterms:created xsi:type="dcterms:W3CDTF">2026-02-17T07:26:00Z</dcterms:created>
  <dcterms:modified xsi:type="dcterms:W3CDTF">2026-03-27T14:07:00Z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0x01010021B2AF3E7654A3489DF6DE5BB2AF60F7</vt:lpwstr>
  </property>
</Properties>
</file>