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724E1" w14:textId="28560C95" w:rsidR="79A1ED61" w:rsidRPr="00734EC1" w:rsidRDefault="79A1ED61" w:rsidP="79A1ED61">
      <w:pPr>
        <w:spacing w:after="160" w:line="276" w:lineRule="auto"/>
        <w:jc w:val="both"/>
        <w:rPr>
          <w:rFonts w:ascii="Calibri" w:eastAsia="Aptos" w:hAnsi="Calibri" w:cs="Calibri"/>
          <w:b/>
          <w:bCs/>
          <w:sz w:val="22"/>
          <w:szCs w:val="22"/>
        </w:rPr>
      </w:pPr>
      <w:r w:rsidRPr="00734EC1">
        <w:rPr>
          <w:rFonts w:ascii="Calibri" w:eastAsia="Aptos" w:hAnsi="Calibri" w:cs="Calibri"/>
          <w:b/>
          <w:bCs/>
          <w:sz w:val="22"/>
          <w:szCs w:val="22"/>
        </w:rPr>
        <w:t xml:space="preserve">Naujakuriai Kauno „Silicio slėnyje“ – Lietuvos inžinerijos kolegija </w:t>
      </w:r>
    </w:p>
    <w:p w14:paraId="7BF08FED" w14:textId="5382BDE8" w:rsidR="79A1ED61" w:rsidRPr="00734EC1" w:rsidRDefault="79A1ED61" w:rsidP="79A1ED61">
      <w:pPr>
        <w:spacing w:after="160" w:line="276" w:lineRule="auto"/>
        <w:jc w:val="both"/>
        <w:rPr>
          <w:rFonts w:ascii="Calibri" w:eastAsia="Aptos" w:hAnsi="Calibri" w:cs="Calibri"/>
          <w:b/>
          <w:bCs/>
          <w:sz w:val="22"/>
          <w:szCs w:val="22"/>
        </w:rPr>
      </w:pPr>
      <w:r w:rsidRPr="00734EC1">
        <w:rPr>
          <w:rFonts w:ascii="Calibri" w:eastAsia="Aptos" w:hAnsi="Calibri" w:cs="Calibri"/>
          <w:b/>
          <w:bCs/>
          <w:sz w:val="22"/>
          <w:szCs w:val="22"/>
        </w:rPr>
        <w:t xml:space="preserve">ALEX Kauno inovacijų angare įsikurs Lietuvos inžinerijos kolegija (LIK), tapsianti pirmąja mokslo ir studijų institucija parke. Įstaiga čia planuoja vykdyti taikomuosius mokslinius tyrimus ir eksperimentinę plėtrą aukštųjų technologijų srityje. Numatomos investicijos sieks apie 3,1 mln. Eurų. Naujosios įkurtuvės taip pat atliepia valstybės strateginį tikslą bei siekį iki 2031-ųjų ALEX teritorijoje įkurti bent vietą mokslo ir studijų filialą. </w:t>
      </w:r>
    </w:p>
    <w:p w14:paraId="11794808" w14:textId="595EEFD1" w:rsidR="79A1ED61" w:rsidRPr="00734EC1" w:rsidRDefault="7526A764" w:rsidP="7526A764">
      <w:pPr>
        <w:spacing w:after="160" w:line="276" w:lineRule="auto"/>
        <w:jc w:val="both"/>
        <w:rPr>
          <w:rFonts w:ascii="Calibri" w:eastAsia="Aptos" w:hAnsi="Calibri" w:cs="Calibri"/>
          <w:sz w:val="22"/>
          <w:szCs w:val="22"/>
        </w:rPr>
      </w:pPr>
      <w:r w:rsidRPr="00734EC1">
        <w:rPr>
          <w:rFonts w:ascii="Calibri" w:eastAsia="Aptos" w:hAnsi="Calibri" w:cs="Calibri"/>
          <w:sz w:val="22"/>
          <w:szCs w:val="22"/>
        </w:rPr>
        <w:t xml:space="preserve">„Daugiau kaip šimtmetį specialistus rengianti Lietuvos inžinerijos kolegija į inovacijų parką atsineša milžinišką akademinę patirtį, stiprų bendradarbiavimo su verslu modelį ir tarptautines partnerystes su Europos aukštosiomis mokyklomis. Tai itin didelės ir patrauklios pridėtinės vertės. </w:t>
      </w:r>
    </w:p>
    <w:p w14:paraId="3A304363" w14:textId="4CD2A981" w:rsidR="79A1ED61" w:rsidRPr="00734EC1" w:rsidRDefault="7526A764" w:rsidP="7526A764">
      <w:pPr>
        <w:spacing w:after="160" w:line="276" w:lineRule="auto"/>
        <w:jc w:val="both"/>
        <w:rPr>
          <w:rFonts w:ascii="Calibri" w:eastAsia="Aptos" w:hAnsi="Calibri" w:cs="Calibri"/>
          <w:sz w:val="22"/>
          <w:szCs w:val="22"/>
        </w:rPr>
      </w:pPr>
      <w:r w:rsidRPr="00734EC1">
        <w:rPr>
          <w:rFonts w:ascii="Calibri" w:eastAsia="Aptos" w:hAnsi="Calibri" w:cs="Calibri"/>
          <w:sz w:val="22"/>
          <w:szCs w:val="22"/>
        </w:rPr>
        <w:t>Kaunui svarbu, kad mieste verslas ir stiprios mokslo institucijos dirbtų kartu. Kuriant ir vystant aukštąsias technologijas būtina augintis kvalifikuotus specialistus, galinčius darbdaviams siūlyti netradicinius ir drąsius sprendimus. Lietuvos inžinerijos kolegijos sprendimas įsikurti ALEX parke rodo pasitikėjimą Kaunu ir jo potencialu“, – sakė Kauno meras Visvaldas Matijošaitis.</w:t>
      </w:r>
    </w:p>
    <w:p w14:paraId="13DB4B1C" w14:textId="5416CD4B" w:rsidR="79A1ED61" w:rsidRPr="00734EC1" w:rsidRDefault="7526A764" w:rsidP="7526A764">
      <w:pPr>
        <w:spacing w:after="160" w:line="276" w:lineRule="auto"/>
        <w:jc w:val="both"/>
        <w:rPr>
          <w:rFonts w:ascii="Calibri" w:eastAsia="Aptos" w:hAnsi="Calibri" w:cs="Calibri"/>
          <w:sz w:val="22"/>
          <w:szCs w:val="22"/>
        </w:rPr>
      </w:pPr>
      <w:r w:rsidRPr="00734EC1">
        <w:rPr>
          <w:rFonts w:ascii="Calibri" w:eastAsia="Aptos" w:hAnsi="Calibri" w:cs="Calibri"/>
          <w:sz w:val="22"/>
          <w:szCs w:val="22"/>
        </w:rPr>
        <w:t xml:space="preserve">Pasak miesto vadovo, ALEX Kauno inovacijų parkas turėtų tampriai bendradarbiauti su Kauno ir visos Lietuvos aukštosiomis mokyklomis. Čia galėtų vykti metinės konferencijos, būtų dalijamasi informacija, kokių sričių specialistus turėtų ruošti universitetai ir kolegijos.  </w:t>
      </w:r>
    </w:p>
    <w:p w14:paraId="17557DB9" w14:textId="07FAA72A" w:rsidR="7526A764" w:rsidRPr="00734EC1" w:rsidRDefault="7526A764" w:rsidP="7526A764">
      <w:pPr>
        <w:spacing w:after="160" w:line="276" w:lineRule="auto"/>
        <w:jc w:val="both"/>
        <w:rPr>
          <w:rFonts w:ascii="Calibri" w:eastAsia="Aptos" w:hAnsi="Calibri" w:cs="Calibri"/>
          <w:sz w:val="22"/>
          <w:szCs w:val="22"/>
        </w:rPr>
      </w:pPr>
      <w:r w:rsidRPr="00734EC1">
        <w:rPr>
          <w:rFonts w:ascii="Calibri" w:eastAsia="Aptos" w:hAnsi="Calibri" w:cs="Calibri"/>
          <w:sz w:val="22"/>
          <w:szCs w:val="22"/>
        </w:rPr>
        <w:t>„Išties smagu, kad šalia Kauno oro uosto kyla orlaivių priežiūros angarai, istoriniame S. Dariaus ir S. Girėno aerodrome taip pat netrukus bus statomi nauji angarai, o ALEX parkas įsikūręs buvusioje sraigtasparnių remonto gamyklos teritorijoje, kur kadaise gimė aukščiausios klasės inžineriniai sprendimai“, – pažymėjo V. Matijošaitis.</w:t>
      </w:r>
    </w:p>
    <w:p w14:paraId="5721647D" w14:textId="2B22145D" w:rsidR="79A1ED61" w:rsidRPr="00734EC1" w:rsidRDefault="79A1ED61" w:rsidP="79A1ED61">
      <w:pPr>
        <w:spacing w:after="160" w:line="276" w:lineRule="auto"/>
        <w:jc w:val="both"/>
        <w:rPr>
          <w:rFonts w:ascii="Calibri" w:eastAsia="Aptos" w:hAnsi="Calibri" w:cs="Calibri"/>
          <w:sz w:val="22"/>
          <w:szCs w:val="22"/>
        </w:rPr>
      </w:pPr>
      <w:r w:rsidRPr="00734EC1">
        <w:rPr>
          <w:rFonts w:ascii="Calibri" w:eastAsia="Aptos" w:hAnsi="Calibri" w:cs="Calibri"/>
          <w:sz w:val="22"/>
          <w:szCs w:val="22"/>
        </w:rPr>
        <w:t xml:space="preserve">Kolegija investuoja 3,1 mln. eurų į ALEX teritorijoje esantį Inovacijų angarą, kuriame išsinuomos daugiau kaip tūkstančio kvadratinių metrų ploto patalpas pirmajame aukšte. Šios erdvės bus skirtos laboratorijoms, tyrimams ir eksperimentinei plėtrai. Įstaiga skaičiuoja, kad sukurs 27 naujas darbo vietas, iš jų – 9 tyrėjams. </w:t>
      </w:r>
    </w:p>
    <w:p w14:paraId="443A9AE7" w14:textId="503F32B9" w:rsidR="79A1ED61" w:rsidRPr="00734EC1" w:rsidRDefault="79A1ED61" w:rsidP="79A1ED61">
      <w:pPr>
        <w:spacing w:after="160" w:line="276" w:lineRule="auto"/>
        <w:jc w:val="both"/>
        <w:rPr>
          <w:rFonts w:ascii="Calibri" w:eastAsia="Aptos" w:hAnsi="Calibri" w:cs="Calibri"/>
          <w:sz w:val="22"/>
          <w:szCs w:val="22"/>
        </w:rPr>
      </w:pPr>
      <w:r w:rsidRPr="00734EC1">
        <w:rPr>
          <w:rFonts w:ascii="Calibri" w:eastAsia="Aptos" w:hAnsi="Calibri" w:cs="Calibri"/>
          <w:sz w:val="22"/>
          <w:szCs w:val="22"/>
        </w:rPr>
        <w:t xml:space="preserve">Visos veiklos tiesiogiai atlieps pramonės poreikius – nuo pažangios elektronikos ir autonominio transporto iki energijos kaupimo, bepiločių sistemų ir naujų konstrukcinių ar kompozicinių medžiagų sprendinių. Taip pat planuojama integruoti įvairias inžinerijos disciplinas – elektroniką, mechaniką, energetiką, automobilių bei aviacijos inžineriją. </w:t>
      </w:r>
    </w:p>
    <w:p w14:paraId="231BF265" w14:textId="486FB3C4" w:rsidR="79A1ED61" w:rsidRPr="00734EC1" w:rsidRDefault="79A1ED61" w:rsidP="79A1ED61">
      <w:pPr>
        <w:spacing w:after="160" w:line="276" w:lineRule="auto"/>
        <w:jc w:val="both"/>
        <w:rPr>
          <w:rFonts w:ascii="Calibri" w:eastAsia="Aptos" w:hAnsi="Calibri" w:cs="Calibri"/>
          <w:sz w:val="22"/>
          <w:szCs w:val="22"/>
        </w:rPr>
      </w:pPr>
      <w:r w:rsidRPr="00734EC1">
        <w:rPr>
          <w:rFonts w:ascii="Calibri" w:eastAsia="Aptos" w:hAnsi="Calibri" w:cs="Calibri"/>
          <w:sz w:val="22"/>
          <w:szCs w:val="22"/>
        </w:rPr>
        <w:t xml:space="preserve">„LIK tyrimai jau dabar orientuojami į praktinį pritaikomumą bei bendrus projektus su verslu. Užtikriname įmonėms prieigą prie tyrėjų, modernios infrastruktūros ir būsimų specialistų Kauno regione veikiantiems verslams, nacionalinėms ir tarptautinėms įstaigoms. </w:t>
      </w:r>
    </w:p>
    <w:p w14:paraId="62584000" w14:textId="77777777" w:rsidR="0053061E" w:rsidRPr="00734EC1" w:rsidRDefault="0053061E" w:rsidP="79A1ED61">
      <w:pPr>
        <w:spacing w:after="160" w:line="276" w:lineRule="auto"/>
        <w:jc w:val="both"/>
        <w:rPr>
          <w:rFonts w:ascii="Calibri" w:eastAsia="Aptos" w:hAnsi="Calibri" w:cs="Calibri"/>
          <w:sz w:val="22"/>
          <w:szCs w:val="22"/>
        </w:rPr>
      </w:pPr>
      <w:r w:rsidRPr="00734EC1">
        <w:rPr>
          <w:rFonts w:ascii="Calibri" w:eastAsia="Aptos" w:hAnsi="Calibri" w:cs="Calibri"/>
          <w:sz w:val="22"/>
          <w:szCs w:val="22"/>
        </w:rPr>
        <w:t>ALEX inovacijų parką plėtrai pasirinkome, nes tai vieta, kur natūraliai susitinka mokslas, verslas ir pažangiausios technologijos. Ši aplinka leidžia greičiau perkelti mūsų tyrimų rezultatus į realius sprendimus ir stiprinti bendrus projektus su aukštųjų technologijų įmonėmis. Matome didelį potencialą kurti inovacijas kartu su jau čia besikuriančiais investuotojais bei partneriais. Kartu tai strateginis žingsnis stiprinant kolegijos vaidmenį Kauno ir visos Lietuvos inovacijų ekosistemoje“, – kalbėjo LIK vadovė dr. Lina Girdauskienė.</w:t>
      </w:r>
    </w:p>
    <w:p w14:paraId="558CF3AA" w14:textId="7ABA90F7" w:rsidR="79A1ED61" w:rsidRPr="00734EC1" w:rsidRDefault="79A1ED61" w:rsidP="79A1ED61">
      <w:pPr>
        <w:spacing w:after="160" w:line="276" w:lineRule="auto"/>
        <w:jc w:val="both"/>
        <w:rPr>
          <w:rFonts w:ascii="Calibri" w:eastAsia="Aptos" w:hAnsi="Calibri" w:cs="Calibri"/>
          <w:sz w:val="22"/>
          <w:szCs w:val="22"/>
        </w:rPr>
      </w:pPr>
      <w:r w:rsidRPr="00734EC1">
        <w:rPr>
          <w:rFonts w:ascii="Calibri" w:eastAsia="Aptos" w:hAnsi="Calibri" w:cs="Calibri"/>
          <w:sz w:val="22"/>
          <w:szCs w:val="22"/>
        </w:rPr>
        <w:t xml:space="preserve">Pasak jos, Lietuvos inžinerijos kolegija – viena stipriausių specializuotų inžinerijos kolegijų Lietuvoje. Institucija turi daugiau kaip šimto metų inžinierių rengimo patirtį, siūlo apie 15 profesinio bakalauro studijų programų ir akcentuoja glaudų teorijos bei praktikos ryšį. </w:t>
      </w:r>
    </w:p>
    <w:p w14:paraId="1A8C134D" w14:textId="511AA450" w:rsidR="79A1ED61" w:rsidRPr="00734EC1" w:rsidRDefault="79A1ED61" w:rsidP="79A1ED61">
      <w:pPr>
        <w:spacing w:after="160" w:line="276" w:lineRule="auto"/>
        <w:jc w:val="both"/>
        <w:rPr>
          <w:rFonts w:ascii="Calibri" w:eastAsia="Aptos" w:hAnsi="Calibri" w:cs="Calibri"/>
          <w:sz w:val="22"/>
          <w:szCs w:val="22"/>
        </w:rPr>
      </w:pPr>
      <w:r w:rsidRPr="00734EC1">
        <w:rPr>
          <w:rFonts w:ascii="Calibri" w:eastAsia="Aptos" w:hAnsi="Calibri" w:cs="Calibri"/>
          <w:sz w:val="22"/>
          <w:szCs w:val="22"/>
        </w:rPr>
        <w:lastRenderedPageBreak/>
        <w:t xml:space="preserve">Istoriškai kolegijoje vystytos transporto, elektronikos, kelių, statybos, medžiagų apdirbimo, orlaivių mechanizmų ir kitos technologijų studijų kryptys. Per šį laiką įstaigą baigė apie 40 tūkstančių absolventų, šiandien dirbančių Lietuvos ir tarptautinėse įmonėse. </w:t>
      </w:r>
    </w:p>
    <w:p w14:paraId="6EF931A3" w14:textId="748D8FB7" w:rsidR="79A1ED61" w:rsidRPr="00734EC1" w:rsidRDefault="79A1ED61" w:rsidP="79A1ED61">
      <w:pPr>
        <w:spacing w:after="160" w:line="276" w:lineRule="auto"/>
        <w:jc w:val="both"/>
        <w:rPr>
          <w:rFonts w:ascii="Calibri" w:eastAsia="Aptos" w:hAnsi="Calibri" w:cs="Calibri"/>
          <w:sz w:val="22"/>
          <w:szCs w:val="22"/>
        </w:rPr>
      </w:pPr>
      <w:r w:rsidRPr="00734EC1">
        <w:rPr>
          <w:rFonts w:ascii="Calibri" w:eastAsia="Aptos" w:hAnsi="Calibri" w:cs="Calibri"/>
          <w:sz w:val="22"/>
          <w:szCs w:val="22"/>
        </w:rPr>
        <w:t xml:space="preserve">Pastaraisiais metais kolegija patenka į Lietuvos kolegijų lyderių trejetuką pagal studijų kokybės rodiklius ir aktyviai dirba tvarios inžinerijos, žaliosios energetikos bei klimato technologijų temose. </w:t>
      </w:r>
    </w:p>
    <w:p w14:paraId="35391731" w14:textId="5F5F17D2" w:rsidR="79A1ED61" w:rsidRPr="00734EC1" w:rsidRDefault="79A1ED61" w:rsidP="79A1ED61">
      <w:pPr>
        <w:spacing w:after="160" w:line="276" w:lineRule="auto"/>
        <w:jc w:val="both"/>
        <w:rPr>
          <w:rFonts w:ascii="Calibri" w:eastAsia="Aptos" w:hAnsi="Calibri" w:cs="Calibri"/>
          <w:sz w:val="22"/>
          <w:szCs w:val="22"/>
        </w:rPr>
      </w:pPr>
      <w:r w:rsidRPr="00734EC1">
        <w:rPr>
          <w:rFonts w:ascii="Calibri" w:eastAsia="Aptos" w:hAnsi="Calibri" w:cs="Calibri"/>
          <w:sz w:val="22"/>
          <w:szCs w:val="22"/>
        </w:rPr>
        <w:t xml:space="preserve">Svarbus kolegijos išskirtinumas – LIK vykdomas glaudus bendradarbiavimas su verslu. Didelė dalis tyrimų ir projektų atliekami kartu verslo partneriais, o per pastaruosius trejus metus pasirašyta beveik 40 sutarčių inovacinių veiklų vykdymui. Įsikūrimas ALEX inovacijų parke, jau dabar pritraukiančiame aukštųjų technologijų investuotojus, tik glaudins sinergiją. </w:t>
      </w:r>
    </w:p>
    <w:p w14:paraId="66FE908D" w14:textId="7E5FC25F" w:rsidR="79A1ED61" w:rsidRPr="00734EC1" w:rsidRDefault="79A1ED61" w:rsidP="79A1ED61">
      <w:pPr>
        <w:spacing w:after="160" w:line="276" w:lineRule="auto"/>
        <w:jc w:val="both"/>
        <w:rPr>
          <w:rFonts w:ascii="Calibri" w:eastAsia="Aptos" w:hAnsi="Calibri" w:cs="Calibri"/>
          <w:sz w:val="22"/>
          <w:szCs w:val="22"/>
        </w:rPr>
      </w:pPr>
      <w:r w:rsidRPr="00734EC1">
        <w:rPr>
          <w:rFonts w:ascii="Calibri" w:eastAsia="Aptos" w:hAnsi="Calibri" w:cs="Calibri"/>
          <w:sz w:val="22"/>
          <w:szCs w:val="22"/>
        </w:rPr>
        <w:t xml:space="preserve">Tikimasi, kad mokslo institucijos įsikūrimas parke taps katalizatoriumi tiek vietos, tiek viso miesto inovacijų ekosistemai. Nuolatinis inžinerinių talentų srautas, bendros laboratorijos, praktikos vietos ir bendri tyrimų projektai sudarys palankią aplinką technologijų kūrimui, gyvybės mokslų, inžinerinės pramonės ir informacinių technologijų įmonių investicijoms.  </w:t>
      </w:r>
    </w:p>
    <w:p w14:paraId="59A6B9C0" w14:textId="046BA27C" w:rsidR="79A1ED61" w:rsidRPr="00734EC1" w:rsidRDefault="79A1ED61" w:rsidP="79A1ED61">
      <w:pPr>
        <w:spacing w:after="160" w:line="276" w:lineRule="auto"/>
        <w:jc w:val="both"/>
        <w:rPr>
          <w:rFonts w:ascii="Calibri" w:eastAsia="Aptos" w:hAnsi="Calibri" w:cs="Calibri"/>
          <w:sz w:val="22"/>
          <w:szCs w:val="22"/>
        </w:rPr>
      </w:pPr>
      <w:r w:rsidRPr="00734EC1">
        <w:rPr>
          <w:rFonts w:ascii="Calibri" w:eastAsia="Aptos" w:hAnsi="Calibri" w:cs="Calibri"/>
          <w:sz w:val="22"/>
          <w:szCs w:val="22"/>
        </w:rPr>
        <w:t xml:space="preserve">Pasak „Kaunas IN“ vadovo Tado Stankevičiaus, toks modelis kuria ypač vertingą bendradarbiavimo aplinką: „Pasaulinė konkurencija kaip niekada stipri, laimės inovatyviausi ir kuriantys didžiausią vertę. Kaunas jau šiandien turi stiprią akademinę bendruomenę ir technologijų sektorių. ALEX Kauno inovacijų parkas leidžia šiuos su pasaulius sujungti dar glaudžiau. Lietuvos inžinerijos kolegijos prisijungimas prie ALEX – ne tik to įrodymas, bet ir pamatas praktiniam inovacijų kūrimui ir taikymui versle. Studentams atsiveria galimybės gauti realią praktiką, tyrėjams – atrasti partnerius, o įmonėms – prieigą prie talentų ir idėjų.“ </w:t>
      </w:r>
    </w:p>
    <w:p w14:paraId="6C60CF10" w14:textId="204968B3" w:rsidR="79A1ED61" w:rsidRPr="00734EC1" w:rsidRDefault="79A1ED61" w:rsidP="79A1ED61">
      <w:pPr>
        <w:spacing w:after="160" w:line="276" w:lineRule="auto"/>
        <w:jc w:val="both"/>
        <w:rPr>
          <w:rFonts w:ascii="Calibri" w:eastAsia="Aptos" w:hAnsi="Calibri" w:cs="Calibri"/>
          <w:sz w:val="22"/>
          <w:szCs w:val="22"/>
        </w:rPr>
      </w:pPr>
      <w:r w:rsidRPr="00734EC1">
        <w:rPr>
          <w:rFonts w:ascii="Calibri" w:eastAsia="Aptos" w:hAnsi="Calibri" w:cs="Calibri"/>
          <w:sz w:val="22"/>
          <w:szCs w:val="22"/>
        </w:rPr>
        <w:t xml:space="preserve">ALEX Kauno inovacijų parkas užima daugiau kaip 30 hektarų teritoriją Aleksote ir yra orientuotas į aukštos pridėtinės vertės veiklas. Parko vizija – sukurti stiprią technologijų bendruomenę, kurioje verslas, mokslas ir talentai veiktų kartu, o Kaunas taptų vienu svarbiausių inovacijų centrų regione.  </w:t>
      </w:r>
    </w:p>
    <w:p w14:paraId="31F9DB00" w14:textId="70F6538E" w:rsidR="79A1ED61" w:rsidRDefault="79A1ED61" w:rsidP="0053061E">
      <w:pPr>
        <w:spacing w:after="160" w:line="276" w:lineRule="auto"/>
        <w:jc w:val="both"/>
        <w:rPr>
          <w:rFonts w:ascii="Calibri" w:eastAsia="Aptos" w:hAnsi="Calibri" w:cs="Calibri"/>
          <w:sz w:val="22"/>
          <w:szCs w:val="22"/>
        </w:rPr>
      </w:pPr>
      <w:r w:rsidRPr="00734EC1">
        <w:rPr>
          <w:rFonts w:ascii="Calibri" w:eastAsia="Aptos" w:hAnsi="Calibri" w:cs="Calibri"/>
          <w:sz w:val="22"/>
          <w:szCs w:val="22"/>
        </w:rPr>
        <w:t xml:space="preserve">2025-ųjų gruodį apie plėtros planus čia paskelbė Lietuvos aukštųjų technologijų įmonių grupė „Teltonika“. Lietuviško kapitalo bendrovė, žinoma industrinės tinklo įrangos, telematikos, elektromobilių įkrovimo stotelių ir telemedicinos įrangos srityse, 4 hektarų teritorijoje kurs Kauno technologijų centrą. </w:t>
      </w:r>
    </w:p>
    <w:p w14:paraId="3C1FEAD6" w14:textId="56C842A0" w:rsidR="00734EC1" w:rsidRPr="00734EC1" w:rsidRDefault="00734EC1" w:rsidP="00734EC1">
      <w:pPr>
        <w:spacing w:after="160" w:line="276" w:lineRule="auto"/>
        <w:jc w:val="right"/>
        <w:rPr>
          <w:rFonts w:ascii="Calibri" w:hAnsi="Calibri" w:cs="Calibri"/>
          <w:i/>
          <w:iCs/>
          <w:sz w:val="22"/>
          <w:szCs w:val="22"/>
        </w:rPr>
      </w:pPr>
      <w:r>
        <w:rPr>
          <w:rFonts w:ascii="Calibri" w:eastAsia="Aptos" w:hAnsi="Calibri" w:cs="Calibri"/>
          <w:i/>
          <w:iCs/>
          <w:sz w:val="22"/>
          <w:szCs w:val="22"/>
        </w:rPr>
        <w:t>Ryšių su visuomene, „Kaunas IN“ ir LIK informacija</w:t>
      </w:r>
    </w:p>
    <w:sectPr w:rsidR="00734EC1" w:rsidRPr="00734EC1" w:rsidSect="00357FD1">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1754BE"/>
    <w:multiLevelType w:val="multilevel"/>
    <w:tmpl w:val="7640D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9FB2058"/>
    <w:multiLevelType w:val="multilevel"/>
    <w:tmpl w:val="07D614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F652411"/>
    <w:multiLevelType w:val="hybridMultilevel"/>
    <w:tmpl w:val="09B26706"/>
    <w:lvl w:ilvl="0" w:tplc="DD80FD52">
      <w:start w:val="1"/>
      <w:numFmt w:val="decimal"/>
      <w:lvlText w:val="%1."/>
      <w:lvlJc w:val="left"/>
      <w:pPr>
        <w:ind w:left="720" w:hanging="360"/>
      </w:pPr>
    </w:lvl>
    <w:lvl w:ilvl="1" w:tplc="BE0EACB8">
      <w:start w:val="1"/>
      <w:numFmt w:val="lowerLetter"/>
      <w:lvlText w:val="%2."/>
      <w:lvlJc w:val="left"/>
      <w:pPr>
        <w:ind w:left="1440" w:hanging="360"/>
      </w:pPr>
    </w:lvl>
    <w:lvl w:ilvl="2" w:tplc="BD504400">
      <w:start w:val="1"/>
      <w:numFmt w:val="lowerRoman"/>
      <w:lvlText w:val="%3."/>
      <w:lvlJc w:val="right"/>
      <w:pPr>
        <w:ind w:left="2160" w:hanging="180"/>
      </w:pPr>
    </w:lvl>
    <w:lvl w:ilvl="3" w:tplc="3636345E">
      <w:start w:val="1"/>
      <w:numFmt w:val="decimal"/>
      <w:lvlText w:val="%4."/>
      <w:lvlJc w:val="left"/>
      <w:pPr>
        <w:ind w:left="2880" w:hanging="360"/>
      </w:pPr>
    </w:lvl>
    <w:lvl w:ilvl="4" w:tplc="40243926">
      <w:start w:val="1"/>
      <w:numFmt w:val="lowerLetter"/>
      <w:lvlText w:val="%5."/>
      <w:lvlJc w:val="left"/>
      <w:pPr>
        <w:ind w:left="3600" w:hanging="360"/>
      </w:pPr>
    </w:lvl>
    <w:lvl w:ilvl="5" w:tplc="BF62ADA0">
      <w:start w:val="1"/>
      <w:numFmt w:val="lowerRoman"/>
      <w:lvlText w:val="%6."/>
      <w:lvlJc w:val="right"/>
      <w:pPr>
        <w:ind w:left="4320" w:hanging="180"/>
      </w:pPr>
    </w:lvl>
    <w:lvl w:ilvl="6" w:tplc="4E48AE9E">
      <w:start w:val="1"/>
      <w:numFmt w:val="decimal"/>
      <w:lvlText w:val="%7."/>
      <w:lvlJc w:val="left"/>
      <w:pPr>
        <w:ind w:left="5040" w:hanging="360"/>
      </w:pPr>
    </w:lvl>
    <w:lvl w:ilvl="7" w:tplc="9A30A340">
      <w:start w:val="1"/>
      <w:numFmt w:val="lowerLetter"/>
      <w:lvlText w:val="%8."/>
      <w:lvlJc w:val="left"/>
      <w:pPr>
        <w:ind w:left="5760" w:hanging="360"/>
      </w:pPr>
    </w:lvl>
    <w:lvl w:ilvl="8" w:tplc="6314634C">
      <w:start w:val="1"/>
      <w:numFmt w:val="lowerRoman"/>
      <w:lvlText w:val="%9."/>
      <w:lvlJc w:val="right"/>
      <w:pPr>
        <w:ind w:left="6480" w:hanging="180"/>
      </w:pPr>
    </w:lvl>
  </w:abstractNum>
  <w:num w:numId="1" w16cid:durableId="1857577007">
    <w:abstractNumId w:val="2"/>
  </w:num>
  <w:num w:numId="2" w16cid:durableId="534119076">
    <w:abstractNumId w:val="0"/>
  </w:num>
  <w:num w:numId="3" w16cid:durableId="674606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396"/>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80"/>
    <w:rsid w:val="00002630"/>
    <w:rsid w:val="001B5A08"/>
    <w:rsid w:val="001C4380"/>
    <w:rsid w:val="00357FD1"/>
    <w:rsid w:val="0053061E"/>
    <w:rsid w:val="00611485"/>
    <w:rsid w:val="00624922"/>
    <w:rsid w:val="00734EC1"/>
    <w:rsid w:val="007B513D"/>
    <w:rsid w:val="00832F86"/>
    <w:rsid w:val="00921223"/>
    <w:rsid w:val="00991578"/>
    <w:rsid w:val="009D525C"/>
    <w:rsid w:val="009D62CE"/>
    <w:rsid w:val="009F6171"/>
    <w:rsid w:val="00AA53E3"/>
    <w:rsid w:val="00AB38C3"/>
    <w:rsid w:val="00B10F3C"/>
    <w:rsid w:val="00CF2E10"/>
    <w:rsid w:val="00DE38F9"/>
    <w:rsid w:val="00E2156C"/>
    <w:rsid w:val="00E30518"/>
    <w:rsid w:val="00E57316"/>
    <w:rsid w:val="00E76FB0"/>
    <w:rsid w:val="00EA633C"/>
    <w:rsid w:val="00F14735"/>
    <w:rsid w:val="00F15599"/>
    <w:rsid w:val="549A83DA"/>
    <w:rsid w:val="7526A764"/>
    <w:rsid w:val="79A1ED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4B147"/>
  <w15:chartTrackingRefBased/>
  <w15:docId w15:val="{2E51B29E-1822-475A-A0B0-0B726027B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link w:val="Antrat1Diagrama"/>
    <w:uiPriority w:val="9"/>
    <w:qFormat/>
    <w:rsid w:val="001C4380"/>
    <w:pPr>
      <w:spacing w:before="100" w:beforeAutospacing="1" w:after="100" w:afterAutospacing="1"/>
      <w:outlineLvl w:val="0"/>
    </w:pPr>
    <w:rPr>
      <w:rFonts w:ascii="Times New Roman" w:eastAsia="Times New Roman" w:hAnsi="Times New Roman" w:cs="Times New Roman"/>
      <w:b/>
      <w:bCs/>
      <w:kern w:val="36"/>
      <w:sz w:val="48"/>
      <w:szCs w:val="48"/>
      <w14:ligatures w14:val="none"/>
    </w:rPr>
  </w:style>
  <w:style w:type="paragraph" w:styleId="Antrat2">
    <w:name w:val="heading 2"/>
    <w:basedOn w:val="prastasis"/>
    <w:link w:val="Antrat2Diagrama"/>
    <w:uiPriority w:val="9"/>
    <w:qFormat/>
    <w:rsid w:val="001C4380"/>
    <w:pPr>
      <w:spacing w:before="100" w:beforeAutospacing="1" w:after="100" w:afterAutospacing="1"/>
      <w:outlineLvl w:val="1"/>
    </w:pPr>
    <w:rPr>
      <w:rFonts w:ascii="Times New Roman" w:eastAsia="Times New Roman" w:hAnsi="Times New Roman" w:cs="Times New Roman"/>
      <w:b/>
      <w:bCs/>
      <w:kern w:val="0"/>
      <w:sz w:val="36"/>
      <w:szCs w:val="36"/>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C4380"/>
    <w:rPr>
      <w:rFonts w:ascii="Times New Roman" w:eastAsia="Times New Roman" w:hAnsi="Times New Roman" w:cs="Times New Roman"/>
      <w:b/>
      <w:bCs/>
      <w:kern w:val="36"/>
      <w:sz w:val="48"/>
      <w:szCs w:val="48"/>
      <w14:ligatures w14:val="none"/>
    </w:rPr>
  </w:style>
  <w:style w:type="character" w:customStyle="1" w:styleId="Antrat2Diagrama">
    <w:name w:val="Antraštė 2 Diagrama"/>
    <w:basedOn w:val="Numatytasispastraiposriftas"/>
    <w:link w:val="Antrat2"/>
    <w:uiPriority w:val="9"/>
    <w:rsid w:val="001C4380"/>
    <w:rPr>
      <w:rFonts w:ascii="Times New Roman" w:eastAsia="Times New Roman" w:hAnsi="Times New Roman" w:cs="Times New Roman"/>
      <w:b/>
      <w:bCs/>
      <w:kern w:val="0"/>
      <w:sz w:val="36"/>
      <w:szCs w:val="36"/>
      <w14:ligatures w14:val="none"/>
    </w:rPr>
  </w:style>
  <w:style w:type="paragraph" w:styleId="prastasiniatinklio">
    <w:name w:val="Normal (Web)"/>
    <w:basedOn w:val="prastasis"/>
    <w:uiPriority w:val="99"/>
    <w:semiHidden/>
    <w:unhideWhenUsed/>
    <w:rsid w:val="001C4380"/>
    <w:pPr>
      <w:spacing w:before="100" w:beforeAutospacing="1" w:after="100" w:afterAutospacing="1"/>
    </w:pPr>
    <w:rPr>
      <w:rFonts w:ascii="Times New Roman" w:eastAsia="Times New Roman" w:hAnsi="Times New Roman" w:cs="Times New Roman"/>
      <w:kern w:val="0"/>
      <w14:ligatures w14:val="none"/>
    </w:rPr>
  </w:style>
  <w:style w:type="character" w:styleId="Grietas">
    <w:name w:val="Strong"/>
    <w:basedOn w:val="Numatytasispastraiposriftas"/>
    <w:uiPriority w:val="22"/>
    <w:qFormat/>
    <w:rsid w:val="001C4380"/>
    <w:rPr>
      <w:b/>
      <w:bCs/>
    </w:rPr>
  </w:style>
  <w:style w:type="character" w:styleId="Komentaronuoroda">
    <w:name w:val="annotation reference"/>
    <w:basedOn w:val="Numatytasispastraiposriftas"/>
    <w:uiPriority w:val="99"/>
    <w:semiHidden/>
    <w:unhideWhenUsed/>
    <w:rsid w:val="001C4380"/>
    <w:rPr>
      <w:sz w:val="16"/>
      <w:szCs w:val="16"/>
    </w:rPr>
  </w:style>
  <w:style w:type="paragraph" w:styleId="Komentarotekstas">
    <w:name w:val="annotation text"/>
    <w:basedOn w:val="prastasis"/>
    <w:link w:val="KomentarotekstasDiagrama"/>
    <w:uiPriority w:val="99"/>
    <w:unhideWhenUsed/>
    <w:rsid w:val="001C4380"/>
    <w:rPr>
      <w:sz w:val="20"/>
      <w:szCs w:val="20"/>
    </w:rPr>
  </w:style>
  <w:style w:type="character" w:customStyle="1" w:styleId="KomentarotekstasDiagrama">
    <w:name w:val="Komentaro tekstas Diagrama"/>
    <w:basedOn w:val="Numatytasispastraiposriftas"/>
    <w:link w:val="Komentarotekstas"/>
    <w:uiPriority w:val="99"/>
    <w:rsid w:val="001C4380"/>
    <w:rPr>
      <w:sz w:val="20"/>
      <w:szCs w:val="20"/>
    </w:rPr>
  </w:style>
  <w:style w:type="paragraph" w:styleId="Komentarotema">
    <w:name w:val="annotation subject"/>
    <w:basedOn w:val="Komentarotekstas"/>
    <w:next w:val="Komentarotekstas"/>
    <w:link w:val="KomentarotemaDiagrama"/>
    <w:uiPriority w:val="99"/>
    <w:semiHidden/>
    <w:unhideWhenUsed/>
    <w:rsid w:val="001C4380"/>
    <w:rPr>
      <w:b/>
      <w:bCs/>
    </w:rPr>
  </w:style>
  <w:style w:type="character" w:customStyle="1" w:styleId="KomentarotemaDiagrama">
    <w:name w:val="Komentaro tema Diagrama"/>
    <w:basedOn w:val="KomentarotekstasDiagrama"/>
    <w:link w:val="Komentarotema"/>
    <w:uiPriority w:val="99"/>
    <w:semiHidden/>
    <w:rsid w:val="001C438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3852</Words>
  <Characters>2196</Characters>
  <Application>Microsoft Office Word</Application>
  <DocSecurity>0</DocSecurity>
  <Lines>18</Lines>
  <Paragraphs>12</Paragraphs>
  <ScaleCrop>false</ScaleCrop>
  <Company/>
  <LinksUpToDate>false</LinksUpToDate>
  <CharactersWithSpaces>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Rasa Markauskaitė</cp:lastModifiedBy>
  <cp:revision>5</cp:revision>
  <dcterms:created xsi:type="dcterms:W3CDTF">2026-04-01T11:57:00Z</dcterms:created>
  <dcterms:modified xsi:type="dcterms:W3CDTF">2026-04-01T12:47:00Z</dcterms:modified>
</cp:coreProperties>
</file>