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78215AB">
      <w:pPr>
        <w:pStyle w:val="83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>
          <w:rFonts w:ascii="Calibri" w:hAnsi="Calibri" w:cs="Calibri"/>
        </w:rPr>
      </w:pPr>
      <w:r>
        <w:rPr>
          <w:rFonts w:ascii="Calibri" w:hAnsi="Calibri" w:eastAsia="Calibri" w:cs="Calibri"/>
          <w:b/>
          <w:color w:val="000000"/>
          <w:sz w:val="36"/>
        </w:rPr>
        <w:t xml:space="preserve">PRANEŠIMAS SPAUDAI</w:t>
      </w:r>
      <w:r>
        <w:rPr>
          <w:rFonts w:ascii="Calibri" w:hAnsi="Calibri" w:eastAsia="Calibri" w:cs="Calibri"/>
        </w:rPr>
      </w:r>
    </w:p>
    <w:p w14:paraId="52A80A0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>
          <w:rFonts w:ascii="Calibri" w:hAnsi="Calibri" w:cs="Calibri"/>
        </w:rPr>
      </w:pPr>
      <w:r>
        <w:rPr>
          <w:rFonts w:ascii="Calibri" w:hAnsi="Calibri" w:eastAsia="Calibri" w:cs="Calibri"/>
          <w:b/>
          <w:color w:val="000000"/>
          <w:sz w:val="24"/>
        </w:rPr>
        <w:t xml:space="preserve">Dėl polistireninio putplasčio rinkos situacijos: tiekimas išlieka stabilus</w:t>
      </w:r>
      <w:r>
        <w:rPr>
          <w:rFonts w:ascii="Calibri" w:hAnsi="Calibri" w:eastAsia="Calibri" w:cs="Calibri"/>
        </w:rPr>
      </w:r>
    </w:p>
    <w:p w14:paraId="4F28A2F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>
          <w:rFonts w:ascii="Calibri" w:hAnsi="Calibri" w:cs="Calibri"/>
        </w:rPr>
      </w:pPr>
      <w:r>
        <w:rPr>
          <w:rFonts w:ascii="Calibri" w:hAnsi="Calibri" w:eastAsia="Calibri" w:cs="Calibri"/>
          <w:color w:val="000000"/>
          <w:sz w:val="24"/>
        </w:rPr>
        <w:t xml:space="preserve">Vilnius, 2026 04 14</w:t>
      </w:r>
      <w:r>
        <w:rPr>
          <w:rFonts w:ascii="Calibri" w:hAnsi="Calibri" w:eastAsia="Calibri" w:cs="Calibri"/>
        </w:rPr>
      </w:r>
    </w:p>
    <w:p w14:paraId="218A5A7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>
          <w:rFonts w:ascii="Calibri" w:hAnsi="Calibri" w:cs="Calibri"/>
        </w:rPr>
      </w:pPr>
      <w:r>
        <w:rPr>
          <w:rFonts w:ascii="Calibri" w:hAnsi="Calibri" w:eastAsia="Calibri" w:cs="Calibri"/>
          <w:color w:val="000000"/>
          <w:sz w:val="24"/>
        </w:rPr>
        <w:t xml:space="preserve">Pastarosiomis savaitėmis viešojoje erdvėje ir tarp rinkos dalyvių pastebimas padidėjęs nerimas dėl galimų statybinių medžiagų, ypač polistireninio putplasčio (EPS), tiekimo sutrikimų. Šis nerimas siejamas su geopolitine situacija Artimuosiuose Rytuose ir j</w:t>
      </w:r>
      <w:r>
        <w:rPr>
          <w:rFonts w:ascii="Calibri" w:hAnsi="Calibri" w:eastAsia="Calibri" w:cs="Calibri"/>
          <w:color w:val="000000"/>
          <w:sz w:val="24"/>
        </w:rPr>
        <w:t xml:space="preserve">os galimu poveikiu žaliavų tiekimo grandinėms.</w:t>
      </w:r>
      <w:r>
        <w:rPr>
          <w:rFonts w:ascii="Calibri" w:hAnsi="Calibri" w:eastAsia="Calibri" w:cs="Calibri"/>
        </w:rPr>
      </w:r>
    </w:p>
    <w:p w14:paraId="41F6EA5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>
          <w:rFonts w:ascii="Calibri" w:hAnsi="Calibri" w:cs="Calibri"/>
        </w:rPr>
      </w:pPr>
      <w:r>
        <w:rPr>
          <w:rFonts w:ascii="Calibri" w:hAnsi="Calibri" w:eastAsia="Calibri" w:cs="Calibri"/>
          <w:color w:val="000000"/>
          <w:sz w:val="24"/>
        </w:rPr>
        <w:t xml:space="preserve">Polistireninio putplasčio asociacija informuoja, kad šiuo metu objektyvių priežasčių kalbėti apie EPS žaliavų ar produkcijos trūkumą nėra.</w:t>
      </w:r>
      <w:r>
        <w:rPr>
          <w:rFonts w:ascii="Calibri" w:hAnsi="Calibri" w:eastAsia="Calibri" w:cs="Calibri"/>
        </w:rPr>
      </w:r>
    </w:p>
    <w:p w14:paraId="3B6506B6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>
          <w:rFonts w:ascii="Calibri" w:hAnsi="Calibri" w:cs="Calibri"/>
        </w:rPr>
      </w:pPr>
      <w:r>
        <w:rPr>
          <w:rFonts w:ascii="Calibri" w:hAnsi="Calibri" w:eastAsia="Calibri" w:cs="Calibri"/>
          <w:color w:val="000000"/>
          <w:sz w:val="24"/>
        </w:rPr>
        <w:t xml:space="preserve">Asociacijos narių duomenimis:</w:t>
      </w:r>
      <w:r>
        <w:rPr>
          <w:rFonts w:ascii="Calibri" w:hAnsi="Calibri" w:eastAsia="Calibri" w:cs="Calibri"/>
        </w:rPr>
      </w:r>
    </w:p>
    <w:p w14:paraId="29F8F9A6">
      <w:pPr>
        <w:pStyle w:val="892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>
          <w:rFonts w:ascii="Calibri" w:hAnsi="Calibri" w:cs="Calibri"/>
        </w:rPr>
      </w:pPr>
      <w:r>
        <w:rPr>
          <w:rFonts w:ascii="Calibri" w:hAnsi="Calibri" w:eastAsia="Calibri" w:cs="Calibri"/>
          <w:color w:val="000000"/>
          <w:sz w:val="24"/>
        </w:rPr>
        <w:t xml:space="preserve">žaliavų tiekimas vyksta įprastai,</w:t>
      </w:r>
      <w:r>
        <w:rPr>
          <w:rFonts w:ascii="Calibri" w:hAnsi="Calibri" w:eastAsia="Calibri" w:cs="Calibri"/>
        </w:rPr>
      </w:r>
    </w:p>
    <w:p w14:paraId="51638633">
      <w:pPr>
        <w:pStyle w:val="892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>
          <w:rFonts w:ascii="Calibri" w:hAnsi="Calibri" w:cs="Calibri"/>
        </w:rPr>
      </w:pPr>
      <w:r>
        <w:rPr>
          <w:rFonts w:ascii="Calibri" w:hAnsi="Calibri" w:eastAsia="Calibri" w:cs="Calibri"/>
          <w:color w:val="000000"/>
          <w:sz w:val="24"/>
        </w:rPr>
        <w:t xml:space="preserve">gamyba Lietuvoje ir regione nėra sutrikusi,</w:t>
      </w:r>
      <w:r>
        <w:rPr>
          <w:rFonts w:ascii="Calibri" w:hAnsi="Calibri" w:eastAsia="Calibri" w:cs="Calibri"/>
        </w:rPr>
      </w:r>
    </w:p>
    <w:p w14:paraId="0FA3227F">
      <w:pPr>
        <w:pStyle w:val="892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rPr>
          <w:rFonts w:ascii="Calibri" w:hAnsi="Calibri" w:cs="Calibri"/>
        </w:rPr>
      </w:pPr>
      <w:r>
        <w:rPr>
          <w:rFonts w:ascii="Calibri" w:hAnsi="Calibri" w:eastAsia="Calibri" w:cs="Calibri"/>
          <w:color w:val="000000"/>
          <w:sz w:val="24"/>
        </w:rPr>
        <w:t xml:space="preserve">užsakymų vykdymas išlieka stabilus.</w:t>
      </w:r>
      <w:r>
        <w:rPr>
          <w:rFonts w:ascii="Calibri" w:hAnsi="Calibri" w:eastAsia="Calibri" w:cs="Calibri"/>
        </w:rPr>
      </w:r>
    </w:p>
    <w:p w14:paraId="45BE8B36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>
          <w:rFonts w:ascii="Calibri" w:hAnsi="Calibri" w:cs="Calibri"/>
        </w:rPr>
      </w:pPr>
      <w:r>
        <w:rPr>
          <w:rFonts w:ascii="Calibri" w:hAnsi="Calibri" w:eastAsia="Calibri" w:cs="Calibri"/>
          <w:color w:val="000000"/>
          <w:sz w:val="24"/>
        </w:rPr>
        <w:t xml:space="preserve">„Rinkoje šiuo metu daugiau jaučiame ne realų trūkumą, o informacinį triukšmą ir su tuo susijusias reakcijas. Tai gali lemti nepagrįstus sprendimus projektuose ar pirkimuose“, - teigia asociacijos atstovai.</w:t>
      </w:r>
      <w:r>
        <w:rPr>
          <w:rFonts w:ascii="Calibri" w:hAnsi="Calibri" w:eastAsia="Calibri" w:cs="Calibri"/>
        </w:rPr>
      </w:r>
    </w:p>
    <w:p w14:paraId="5768EE3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>
          <w:rFonts w:ascii="Calibri" w:hAnsi="Calibri" w:cs="Calibri"/>
        </w:rPr>
      </w:pPr>
      <w:r>
        <w:rPr>
          <w:rFonts w:ascii="Calibri" w:hAnsi="Calibri" w:eastAsia="Calibri" w:cs="Calibri"/>
          <w:color w:val="000000"/>
          <w:sz w:val="24"/>
        </w:rPr>
        <w:t xml:space="preserve">Pažymima, kad geopolitinė situacija gali turėti įtakos tam tikriems rinkos aspektams, pirmiausia – kainodarai ir tiekimo sąlygoms. Vis dėlto šie pokyčiai nėra tokio masto, kuris lemtų medžiagų neprieinamumą ar reikšmingus projektų sustabdymus.</w:t>
      </w:r>
      <w:r>
        <w:rPr>
          <w:rFonts w:ascii="Calibri" w:hAnsi="Calibri" w:eastAsia="Calibri" w:cs="Calibri"/>
        </w:rPr>
      </w:r>
    </w:p>
    <w:p w14:paraId="299F0776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>
          <w:rFonts w:ascii="Calibri" w:hAnsi="Calibri" w:cs="Calibri"/>
        </w:rPr>
      </w:pPr>
      <w:r>
        <w:rPr>
          <w:rFonts w:ascii="Calibri" w:hAnsi="Calibri" w:eastAsia="Calibri" w:cs="Calibri"/>
          <w:color w:val="000000"/>
          <w:sz w:val="24"/>
        </w:rPr>
        <w:t xml:space="preserve">Asociacija ragina projektuotojus, rangovus ir nekilnojamojo turto vystytojus sprendimus priimti remiantis patikima informacija ir tiesiogine komunikacija su gamintojais.</w:t>
      </w:r>
      <w:r>
        <w:rPr>
          <w:rFonts w:ascii="Calibri" w:hAnsi="Calibri" w:eastAsia="Calibri" w:cs="Calibri"/>
        </w:rPr>
      </w:r>
    </w:p>
    <w:p w14:paraId="09FA70E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>
          <w:rFonts w:ascii="Calibri" w:hAnsi="Calibri" w:cs="Calibri"/>
        </w:rPr>
      </w:pPr>
      <w:r>
        <w:rPr>
          <w:rFonts w:ascii="Calibri" w:hAnsi="Calibri" w:eastAsia="Calibri" w:cs="Calibri"/>
          <w:color w:val="000000"/>
          <w:sz w:val="24"/>
        </w:rPr>
        <w:t xml:space="preserve">„Šiandien svarbiausia - nepasiduoti spekuliacijoms ir vertinti situaciją faktais. EPS gamintojai dirba įprastu režimu, todėl tiekimo tęstinumas yra užtikrinamas“, - pabrėžia asociacija.</w:t>
      </w:r>
      <w:r>
        <w:rPr>
          <w:rFonts w:ascii="Calibri" w:hAnsi="Calibri" w:eastAsia="Calibri" w:cs="Calibri"/>
        </w:rPr>
      </w:r>
    </w:p>
    <w:p w14:paraId="1DED467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>
          <w:rFonts w:ascii="Calibri" w:hAnsi="Calibri" w:cs="Calibri"/>
        </w:rPr>
      </w:pPr>
      <w:r>
        <w:rPr>
          <w:rFonts w:ascii="Calibri" w:hAnsi="Calibri" w:eastAsia="Calibri" w:cs="Calibri"/>
          <w:color w:val="000000"/>
          <w:sz w:val="24"/>
        </w:rPr>
        <w:t xml:space="preserve">Polistireninio putplasčio asociacija ir toliau stebės situaciją bei, esant poreikiui, informuos rinkos dalyvius apie reikšmingus pokyčius.</w:t>
      </w:r>
      <w:r>
        <w:rPr>
          <w:rFonts w:ascii="Calibri" w:hAnsi="Calibri" w:eastAsia="Calibri" w:cs="Calibri"/>
        </w:rPr>
      </w:r>
    </w:p>
    <w:p w14:paraId="02CCFD2D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>
          <w:rFonts w:ascii="Calibri" w:hAnsi="Calibri" w:cs="Calibri"/>
        </w:rPr>
      </w:pPr>
      <w:r>
        <w:rPr>
          <w:rFonts w:ascii="Calibri" w:hAnsi="Calibri" w:eastAsia="Calibri" w:cs="Calibri"/>
          <w:b/>
          <w:color w:val="000000"/>
          <w:sz w:val="24"/>
        </w:rPr>
        <w:t xml:space="preserve">Kontaktai žiniasklaidai:</w:t>
        <w:br/>
      </w:r>
      <w:r>
        <w:rPr>
          <w:rFonts w:ascii="Calibri" w:hAnsi="Calibri" w:eastAsia="Calibri" w:cs="Calibri"/>
        </w:rPr>
        <w:t xml:space="preserve">Saulius Skrodenis, </w:t>
      </w:r>
      <w:r>
        <w:rPr>
          <w:rFonts w:ascii="Calibri" w:hAnsi="Calibri" w:eastAsia="Calibri" w:cs="Calibri"/>
        </w:rPr>
      </w:r>
    </w:p>
    <w:p w14:paraId="0D582F4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>
          <w:rFonts w:ascii="Calibri" w:hAnsi="Calibri" w:cs="Calibri"/>
        </w:rPr>
      </w:pPr>
      <w:r>
        <w:rPr>
          <w:rFonts w:ascii="Calibri" w:hAnsi="Calibri" w:eastAsia="Calibri" w:cs="Calibri"/>
        </w:rPr>
        <w:t xml:space="preserve">Polistireninio putplasčio asociacijos prezidentas, </w:t>
      </w:r>
      <w:r>
        <w:rPr>
          <w:rFonts w:ascii="Calibri" w:hAnsi="Calibri" w:eastAsia="Calibri" w:cs="Calibri"/>
        </w:rPr>
      </w:r>
    </w:p>
    <w:p w14:paraId="0707296D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rPr>
          <w:rFonts w:ascii="Calibri" w:hAnsi="Calibri" w:cs="Calibri"/>
        </w:rPr>
      </w:pPr>
      <w:r>
        <w:rPr>
          <w:rFonts w:ascii="Calibri" w:hAnsi="Calibri" w:eastAsia="Calibri" w:cs="Calibri"/>
        </w:rPr>
        <w:t xml:space="preserve">s.skrodenis@epsa.lt, +37069963333</w:t>
      </w:r>
      <w:r>
        <w:rPr>
          <w:rFonts w:ascii="Calibri" w:hAnsi="Calibri" w:eastAsia="Calibri" w:cs="Calibri"/>
        </w:rPr>
      </w:r>
      <w:r>
        <w:rPr>
          <w:rFonts w:ascii="Calibri" w:hAnsi="Calibri" w:eastAsia="Calibri" w:cs="Calibri"/>
        </w:rPr>
      </w:r>
      <w:r>
        <w:rPr>
          <w:rFonts w:ascii="Calibri" w:hAnsi="Calibri" w:eastAsia="Calibri" w:cs="Calibri"/>
        </w:rPr>
      </w:r>
      <w:r>
        <w:rPr>
          <w:rFonts w:ascii="Calibri" w:hAnsi="Calibri" w:eastAsia="Calibri" w:cs="Calibri"/>
        </w:rPr>
      </w:r>
      <w:r>
        <w:rPr>
          <w:rFonts w:ascii="Calibri" w:hAnsi="Calibri" w:cs="Calibri"/>
        </w:rPr>
      </w:r>
    </w:p>
    <w:sectPr>
      <w:footnotePr/>
      <w:endnotePr/>
      <w:type w:val="nextPage"/>
      <w:pgSz w:h="15840" w:orient="portrait" w:w="12240"/>
      <w:pgMar w:top="1440" w:right="1440" w:bottom="1440" w:left="144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3C1AE7"/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9">
    <w:name w:val="Heading 1"/>
    <w:basedOn w:val="888"/>
    <w:next w:val="888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0">
    <w:name w:val="Heading 2"/>
    <w:basedOn w:val="888"/>
    <w:next w:val="888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1">
    <w:name w:val="Heading 3"/>
    <w:basedOn w:val="888"/>
    <w:next w:val="888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2">
    <w:name w:val="Heading 4"/>
    <w:basedOn w:val="888"/>
    <w:next w:val="888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3">
    <w:name w:val="Heading 5"/>
    <w:basedOn w:val="888"/>
    <w:next w:val="888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4">
    <w:name w:val="Heading 6"/>
    <w:basedOn w:val="888"/>
    <w:next w:val="888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5">
    <w:name w:val="Heading 7"/>
    <w:basedOn w:val="888"/>
    <w:next w:val="888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6">
    <w:name w:val="Heading 8"/>
    <w:basedOn w:val="888"/>
    <w:next w:val="888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7">
    <w:name w:val="Heading 9"/>
    <w:basedOn w:val="888"/>
    <w:next w:val="888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8" w:default="1">
    <w:name w:val="Default Paragraph Font"/>
    <w:uiPriority w:val="1"/>
    <w:semiHidden/>
    <w:unhideWhenUsed/>
    <w:pPr>
      <w:pBdr/>
      <w:spacing/>
      <w:ind/>
    </w:pPr>
  </w:style>
  <w:style w:type="character" w:styleId="839">
    <w:name w:val="Heading 1 Char"/>
    <w:basedOn w:val="83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8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8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8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8"/>
    <w:link w:val="83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8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88"/>
    <w:next w:val="888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8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88"/>
    <w:next w:val="888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8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88"/>
    <w:next w:val="888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8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4">
    <w:name w:val="Intense Emphasis"/>
    <w:basedOn w:val="83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5">
    <w:name w:val="Intense Quote"/>
    <w:basedOn w:val="888"/>
    <w:next w:val="888"/>
    <w:link w:val="85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6">
    <w:name w:val="Intense Quote Char"/>
    <w:basedOn w:val="838"/>
    <w:link w:val="85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7">
    <w:name w:val="Intense Reference"/>
    <w:basedOn w:val="83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8">
    <w:name w:val="Subtle Emphasis"/>
    <w:basedOn w:val="83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Emphasis"/>
    <w:basedOn w:val="838"/>
    <w:uiPriority w:val="20"/>
    <w:qFormat/>
    <w:pPr>
      <w:pBdr/>
      <w:spacing/>
      <w:ind/>
    </w:pPr>
    <w:rPr>
      <w:i/>
      <w:iCs/>
    </w:rPr>
  </w:style>
  <w:style w:type="character" w:styleId="860">
    <w:name w:val="Strong"/>
    <w:basedOn w:val="838"/>
    <w:uiPriority w:val="22"/>
    <w:qFormat/>
    <w:pPr>
      <w:pBdr/>
      <w:spacing/>
      <w:ind/>
    </w:pPr>
    <w:rPr>
      <w:b/>
      <w:bCs/>
    </w:rPr>
  </w:style>
  <w:style w:type="character" w:styleId="861">
    <w:name w:val="Subtle Reference"/>
    <w:basedOn w:val="83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3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3">
    <w:name w:val="Header"/>
    <w:basedOn w:val="888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Header Char"/>
    <w:basedOn w:val="838"/>
    <w:link w:val="863"/>
    <w:uiPriority w:val="99"/>
    <w:pPr>
      <w:pBdr/>
      <w:spacing/>
      <w:ind/>
    </w:pPr>
  </w:style>
  <w:style w:type="paragraph" w:styleId="865">
    <w:name w:val="Footer"/>
    <w:basedOn w:val="888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Footer Char"/>
    <w:basedOn w:val="838"/>
    <w:link w:val="865"/>
    <w:uiPriority w:val="99"/>
    <w:pPr>
      <w:pBdr/>
      <w:spacing/>
      <w:ind/>
    </w:pPr>
  </w:style>
  <w:style w:type="paragraph" w:styleId="867">
    <w:name w:val="Caption"/>
    <w:basedOn w:val="888"/>
    <w:next w:val="88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8">
    <w:name w:val="footnote text"/>
    <w:basedOn w:val="888"/>
    <w:link w:val="86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9">
    <w:name w:val="Footnote Text Char"/>
    <w:basedOn w:val="838"/>
    <w:link w:val="868"/>
    <w:uiPriority w:val="99"/>
    <w:semiHidden/>
    <w:pPr>
      <w:pBdr/>
      <w:spacing/>
      <w:ind/>
    </w:pPr>
    <w:rPr>
      <w:sz w:val="20"/>
      <w:szCs w:val="20"/>
    </w:rPr>
  </w:style>
  <w:style w:type="character" w:styleId="870">
    <w:name w:val="footnote reference"/>
    <w:basedOn w:val="838"/>
    <w:uiPriority w:val="99"/>
    <w:semiHidden/>
    <w:unhideWhenUsed/>
    <w:pPr>
      <w:pBdr/>
      <w:spacing/>
      <w:ind/>
    </w:pPr>
    <w:rPr>
      <w:vertAlign w:val="superscript"/>
    </w:rPr>
  </w:style>
  <w:style w:type="paragraph" w:styleId="871">
    <w:name w:val="endnote text"/>
    <w:basedOn w:val="888"/>
    <w:link w:val="87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2">
    <w:name w:val="Endnote Text Char"/>
    <w:basedOn w:val="838"/>
    <w:link w:val="871"/>
    <w:uiPriority w:val="99"/>
    <w:semiHidden/>
    <w:pPr>
      <w:pBdr/>
      <w:spacing/>
      <w:ind/>
    </w:pPr>
    <w:rPr>
      <w:sz w:val="20"/>
      <w:szCs w:val="20"/>
    </w:rPr>
  </w:style>
  <w:style w:type="character" w:styleId="873">
    <w:name w:val="endnote reference"/>
    <w:basedOn w:val="838"/>
    <w:uiPriority w:val="99"/>
    <w:semiHidden/>
    <w:unhideWhenUsed/>
    <w:pPr>
      <w:pBdr/>
      <w:spacing/>
      <w:ind/>
    </w:pPr>
    <w:rPr>
      <w:vertAlign w:val="superscript"/>
    </w:rPr>
  </w:style>
  <w:style w:type="character" w:styleId="874">
    <w:name w:val="Hyperlink"/>
    <w:basedOn w:val="83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5">
    <w:name w:val="FollowedHyperlink"/>
    <w:basedOn w:val="83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6">
    <w:name w:val="toc 1"/>
    <w:basedOn w:val="888"/>
    <w:next w:val="888"/>
    <w:uiPriority w:val="39"/>
    <w:unhideWhenUsed/>
    <w:pPr>
      <w:pBdr/>
      <w:spacing w:after="100"/>
      <w:ind/>
    </w:pPr>
  </w:style>
  <w:style w:type="paragraph" w:styleId="877">
    <w:name w:val="toc 2"/>
    <w:basedOn w:val="888"/>
    <w:next w:val="888"/>
    <w:uiPriority w:val="39"/>
    <w:unhideWhenUsed/>
    <w:pPr>
      <w:pBdr/>
      <w:spacing w:after="100"/>
      <w:ind w:left="220"/>
    </w:pPr>
  </w:style>
  <w:style w:type="paragraph" w:styleId="878">
    <w:name w:val="toc 3"/>
    <w:basedOn w:val="888"/>
    <w:next w:val="888"/>
    <w:uiPriority w:val="39"/>
    <w:unhideWhenUsed/>
    <w:pPr>
      <w:pBdr/>
      <w:spacing w:after="100"/>
      <w:ind w:left="440"/>
    </w:pPr>
  </w:style>
  <w:style w:type="paragraph" w:styleId="879">
    <w:name w:val="toc 4"/>
    <w:basedOn w:val="888"/>
    <w:next w:val="888"/>
    <w:uiPriority w:val="39"/>
    <w:unhideWhenUsed/>
    <w:pPr>
      <w:pBdr/>
      <w:spacing w:after="100"/>
      <w:ind w:left="660"/>
    </w:pPr>
  </w:style>
  <w:style w:type="paragraph" w:styleId="880">
    <w:name w:val="toc 5"/>
    <w:basedOn w:val="888"/>
    <w:next w:val="888"/>
    <w:uiPriority w:val="39"/>
    <w:unhideWhenUsed/>
    <w:pPr>
      <w:pBdr/>
      <w:spacing w:after="100"/>
      <w:ind w:left="880"/>
    </w:pPr>
  </w:style>
  <w:style w:type="paragraph" w:styleId="881">
    <w:name w:val="toc 6"/>
    <w:basedOn w:val="888"/>
    <w:next w:val="888"/>
    <w:uiPriority w:val="39"/>
    <w:unhideWhenUsed/>
    <w:pPr>
      <w:pBdr/>
      <w:spacing w:after="100"/>
      <w:ind w:left="1100"/>
    </w:pPr>
  </w:style>
  <w:style w:type="paragraph" w:styleId="882">
    <w:name w:val="toc 7"/>
    <w:basedOn w:val="888"/>
    <w:next w:val="888"/>
    <w:uiPriority w:val="39"/>
    <w:unhideWhenUsed/>
    <w:pPr>
      <w:pBdr/>
      <w:spacing w:after="100"/>
      <w:ind w:left="1320"/>
    </w:pPr>
  </w:style>
  <w:style w:type="paragraph" w:styleId="883">
    <w:name w:val="toc 8"/>
    <w:basedOn w:val="888"/>
    <w:next w:val="888"/>
    <w:uiPriority w:val="39"/>
    <w:unhideWhenUsed/>
    <w:pPr>
      <w:pBdr/>
      <w:spacing w:after="100"/>
      <w:ind w:left="1540"/>
    </w:pPr>
  </w:style>
  <w:style w:type="paragraph" w:styleId="884">
    <w:name w:val="toc 9"/>
    <w:basedOn w:val="888"/>
    <w:next w:val="888"/>
    <w:uiPriority w:val="39"/>
    <w:unhideWhenUsed/>
    <w:pPr>
      <w:pBdr/>
      <w:spacing w:after="100"/>
      <w:ind w:left="1760"/>
    </w:pPr>
  </w:style>
  <w:style w:type="character" w:styleId="885">
    <w:name w:val="Placeholder Text"/>
    <w:basedOn w:val="838"/>
    <w:uiPriority w:val="99"/>
    <w:semiHidden/>
    <w:pPr>
      <w:pBdr/>
      <w:spacing/>
      <w:ind/>
    </w:pPr>
    <w:rPr>
      <w:color w:val="666666"/>
    </w:rPr>
  </w:style>
  <w:style w:type="paragraph" w:styleId="886">
    <w:name w:val="TOC Heading"/>
    <w:uiPriority w:val="39"/>
    <w:unhideWhenUsed/>
    <w:pPr>
      <w:pBdr/>
      <w:spacing/>
      <w:ind/>
    </w:pPr>
  </w:style>
  <w:style w:type="paragraph" w:styleId="887">
    <w:name w:val="table of figures"/>
    <w:basedOn w:val="888"/>
    <w:next w:val="888"/>
    <w:uiPriority w:val="99"/>
    <w:unhideWhenUsed/>
    <w:pPr>
      <w:pBdr/>
      <w:spacing w:after="0" w:afterAutospacing="0"/>
      <w:ind/>
    </w:pPr>
  </w:style>
  <w:style w:type="paragraph" w:styleId="888" w:default="1">
    <w:name w:val="Normal"/>
    <w:qFormat/>
    <w:pPr>
      <w:pBdr/>
      <w:spacing/>
      <w:ind/>
    </w:pPr>
  </w:style>
  <w:style w:type="table" w:styleId="88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0" w:default="1">
    <w:name w:val="No List"/>
    <w:uiPriority w:val="99"/>
    <w:semiHidden/>
    <w:unhideWhenUsed/>
    <w:pPr>
      <w:pBdr/>
      <w:spacing/>
      <w:ind/>
    </w:pPr>
  </w:style>
  <w:style w:type="paragraph" w:styleId="891">
    <w:name w:val="No Spacing"/>
    <w:basedOn w:val="888"/>
    <w:uiPriority w:val="1"/>
    <w:qFormat/>
    <w:pPr>
      <w:pBdr/>
      <w:spacing w:after="0" w:line="240" w:lineRule="auto"/>
      <w:ind/>
    </w:pPr>
  </w:style>
  <w:style w:type="paragraph" w:styleId="892">
    <w:name w:val="List Paragraph"/>
    <w:basedOn w:val="888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ONLYOFFICE/9.2.1.43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2026-04-14T04:51:44Z</dcterms:modified>
</cp:coreProperties>
</file>