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B3C1E" w14:textId="5BE012EB" w:rsidR="00130E8B" w:rsidRPr="00D350B9" w:rsidRDefault="00331FA9" w:rsidP="00D350B9">
      <w:pPr>
        <w:pStyle w:val="Nonumbering"/>
        <w:rPr>
          <w:rFonts w:asciiTheme="majorHAnsi" w:hAnsiTheme="majorHAnsi" w:cstheme="majorHAnsi"/>
          <w:b/>
          <w:lang w:val="en-US"/>
        </w:rPr>
      </w:pPr>
      <w:r w:rsidRPr="00D350B9">
        <w:rPr>
          <w:rFonts w:asciiTheme="majorHAnsi" w:hAnsiTheme="majorHAnsi" w:cstheme="majorHAnsi"/>
          <w:b/>
          <w:lang w:val="lt-LT"/>
        </w:rPr>
        <w:t>202</w:t>
      </w:r>
      <w:r w:rsidR="00D350B9" w:rsidRPr="00D350B9">
        <w:rPr>
          <w:rFonts w:asciiTheme="majorHAnsi" w:hAnsiTheme="majorHAnsi" w:cstheme="majorHAnsi"/>
          <w:b/>
          <w:lang w:val="lt-LT"/>
        </w:rPr>
        <w:t>6.04.21</w:t>
      </w:r>
      <w:r w:rsidR="00CF5E90" w:rsidRPr="00D350B9">
        <w:rPr>
          <w:rFonts w:asciiTheme="majorHAnsi" w:hAnsiTheme="majorHAnsi" w:cstheme="majorHAnsi"/>
          <w:b/>
          <w:lang w:val="en-US"/>
        </w:rPr>
        <w:t>.</w:t>
      </w:r>
    </w:p>
    <w:p w14:paraId="51A58B95" w14:textId="4EC54A51" w:rsidR="006D7C4C" w:rsidRDefault="006D7C4C" w:rsidP="00D350B9">
      <w:pPr>
        <w:jc w:val="both"/>
        <w:rPr>
          <w:rFonts w:asciiTheme="majorHAnsi" w:hAnsiTheme="majorHAnsi" w:cstheme="majorHAnsi"/>
          <w:b/>
          <w:bCs/>
          <w:sz w:val="20"/>
        </w:rPr>
      </w:pPr>
      <w:r>
        <w:rPr>
          <w:rFonts w:asciiTheme="majorHAnsi" w:hAnsiTheme="majorHAnsi" w:cstheme="majorHAnsi"/>
          <w:b/>
          <w:bCs/>
          <w:sz w:val="20"/>
        </w:rPr>
        <w:t>Augantis s</w:t>
      </w:r>
      <w:r w:rsidR="00D350B9" w:rsidRPr="00D350B9">
        <w:rPr>
          <w:rFonts w:asciiTheme="majorHAnsi" w:hAnsiTheme="majorHAnsi" w:cstheme="majorHAnsi"/>
          <w:b/>
          <w:bCs/>
          <w:sz w:val="20"/>
        </w:rPr>
        <w:t>ukčiavimas prieš verslą</w:t>
      </w:r>
      <w:r w:rsidR="003C2811">
        <w:rPr>
          <w:rFonts w:asciiTheme="majorHAnsi" w:hAnsiTheme="majorHAnsi" w:cstheme="majorHAnsi"/>
          <w:b/>
          <w:bCs/>
          <w:sz w:val="20"/>
        </w:rPr>
        <w:t xml:space="preserve"> –</w:t>
      </w:r>
      <w:r w:rsidR="00D350B9" w:rsidRPr="00D350B9">
        <w:rPr>
          <w:rFonts w:asciiTheme="majorHAnsi" w:hAnsiTheme="majorHAnsi" w:cstheme="majorHAnsi"/>
          <w:b/>
          <w:bCs/>
          <w:sz w:val="20"/>
        </w:rPr>
        <w:t xml:space="preserve"> </w:t>
      </w:r>
      <w:r w:rsidR="002806F3">
        <w:rPr>
          <w:rFonts w:asciiTheme="majorHAnsi" w:hAnsiTheme="majorHAnsi" w:cstheme="majorHAnsi"/>
          <w:b/>
          <w:bCs/>
          <w:sz w:val="20"/>
        </w:rPr>
        <w:t>pavedimas pagal sąskaitą faktūrą</w:t>
      </w:r>
      <w:r w:rsidR="00D350B9" w:rsidRPr="00D350B9">
        <w:rPr>
          <w:rFonts w:asciiTheme="majorHAnsi" w:hAnsiTheme="majorHAnsi" w:cstheme="majorHAnsi"/>
          <w:b/>
          <w:bCs/>
          <w:sz w:val="20"/>
        </w:rPr>
        <w:t xml:space="preserve"> gali kainuoti milijonus</w:t>
      </w:r>
    </w:p>
    <w:p w14:paraId="3DC56F78" w14:textId="77777777" w:rsidR="00D350B9" w:rsidRPr="00D350B9" w:rsidRDefault="00D350B9" w:rsidP="00D350B9">
      <w:pPr>
        <w:jc w:val="both"/>
        <w:rPr>
          <w:rFonts w:asciiTheme="majorHAnsi" w:hAnsiTheme="majorHAnsi" w:cstheme="majorHAnsi"/>
          <w:sz w:val="20"/>
        </w:rPr>
      </w:pPr>
    </w:p>
    <w:p w14:paraId="21AE6A62" w14:textId="7EDD9699" w:rsidR="00D350B9" w:rsidRDefault="00D350B9" w:rsidP="00D350B9">
      <w:pPr>
        <w:jc w:val="both"/>
        <w:rPr>
          <w:rFonts w:asciiTheme="majorHAnsi" w:hAnsiTheme="majorHAnsi" w:cstheme="majorHAnsi"/>
          <w:sz w:val="20"/>
        </w:rPr>
      </w:pPr>
      <w:r w:rsidRPr="00D350B9">
        <w:rPr>
          <w:rFonts w:asciiTheme="majorHAnsi" w:hAnsiTheme="majorHAnsi" w:cstheme="majorHAnsi"/>
          <w:sz w:val="20"/>
        </w:rPr>
        <w:t xml:space="preserve">Nuo sukčių nukenčia ne tik pažeidžiamos gyventojų grupės – vis dažniau jų taikiniu tampa ir verslas. Lietuvos institucijų duomenys rodo, kad vien </w:t>
      </w:r>
      <w:r w:rsidR="00287E0B">
        <w:rPr>
          <w:rFonts w:asciiTheme="majorHAnsi" w:hAnsiTheme="majorHAnsi" w:cstheme="majorHAnsi"/>
          <w:sz w:val="20"/>
          <w:lang w:val="en-US"/>
        </w:rPr>
        <w:t>2025 m.</w:t>
      </w:r>
      <w:r w:rsidRPr="00D350B9">
        <w:rPr>
          <w:rFonts w:asciiTheme="majorHAnsi" w:hAnsiTheme="majorHAnsi" w:cstheme="majorHAnsi"/>
          <w:sz w:val="20"/>
        </w:rPr>
        <w:t xml:space="preserve"> įmonių patirti nuostoliai dėl sukčiavimo siekė milijonus eurų. Didžiausia problema ta, kad šiuolaikinis sukčiavimas atrodo kaip įprasta verslo operacija – sąskaita iš tiekėjo, skubus vadovo prašymas ar įprastas el. laiškas. Kaip pastebi</w:t>
      </w:r>
      <w:r w:rsidR="006D7C4C">
        <w:rPr>
          <w:rFonts w:asciiTheme="majorHAnsi" w:hAnsiTheme="majorHAnsi" w:cstheme="majorHAnsi"/>
          <w:sz w:val="20"/>
        </w:rPr>
        <w:t xml:space="preserve"> ekspertai</w:t>
      </w:r>
      <w:r w:rsidRPr="00D350B9">
        <w:rPr>
          <w:rFonts w:asciiTheme="majorHAnsi" w:hAnsiTheme="majorHAnsi" w:cstheme="majorHAnsi"/>
          <w:sz w:val="20"/>
        </w:rPr>
        <w:t>, įmonės dažniausiai nukenčia ne dėl technologijų trūkumo, o dėl pernelyg didelio pasitikėjimo ir nepakankamų vidinių kontrolės mechanizmų.</w:t>
      </w:r>
    </w:p>
    <w:p w14:paraId="3D3D6304" w14:textId="77777777" w:rsidR="00D350B9" w:rsidRPr="00D350B9" w:rsidRDefault="00D350B9" w:rsidP="00D350B9">
      <w:pPr>
        <w:jc w:val="both"/>
        <w:rPr>
          <w:rFonts w:asciiTheme="majorHAnsi" w:hAnsiTheme="majorHAnsi" w:cstheme="majorHAnsi"/>
          <w:sz w:val="20"/>
        </w:rPr>
      </w:pPr>
    </w:p>
    <w:p w14:paraId="3B33EF31" w14:textId="77777777" w:rsidR="00D350B9" w:rsidRDefault="00D350B9" w:rsidP="00D350B9">
      <w:pPr>
        <w:jc w:val="both"/>
        <w:rPr>
          <w:rFonts w:asciiTheme="majorHAnsi" w:hAnsiTheme="majorHAnsi" w:cstheme="majorHAnsi"/>
          <w:b/>
          <w:bCs/>
          <w:sz w:val="20"/>
        </w:rPr>
      </w:pPr>
      <w:r w:rsidRPr="00D350B9">
        <w:rPr>
          <w:rFonts w:asciiTheme="majorHAnsi" w:hAnsiTheme="majorHAnsi" w:cstheme="majorHAnsi"/>
          <w:b/>
          <w:bCs/>
          <w:sz w:val="20"/>
        </w:rPr>
        <w:t>Vyraujančios sukčiavimo schemos</w:t>
      </w:r>
    </w:p>
    <w:p w14:paraId="2EF277FA" w14:textId="77777777" w:rsidR="00D350B9" w:rsidRPr="00D350B9" w:rsidRDefault="00D350B9" w:rsidP="00D350B9">
      <w:pPr>
        <w:jc w:val="both"/>
        <w:rPr>
          <w:rFonts w:asciiTheme="majorHAnsi" w:hAnsiTheme="majorHAnsi" w:cstheme="majorHAnsi"/>
          <w:b/>
          <w:bCs/>
          <w:sz w:val="20"/>
        </w:rPr>
      </w:pPr>
    </w:p>
    <w:p w14:paraId="526C107A" w14:textId="301D5F8A" w:rsidR="00D350B9" w:rsidRDefault="00D350B9" w:rsidP="00D350B9">
      <w:pPr>
        <w:jc w:val="both"/>
        <w:rPr>
          <w:rFonts w:asciiTheme="majorHAnsi" w:hAnsiTheme="majorHAnsi" w:cstheme="majorHAnsi"/>
          <w:sz w:val="20"/>
        </w:rPr>
      </w:pPr>
      <w:r w:rsidRPr="00D350B9">
        <w:rPr>
          <w:rFonts w:asciiTheme="majorHAnsi" w:hAnsiTheme="majorHAnsi" w:cstheme="majorHAnsi"/>
          <w:sz w:val="20"/>
        </w:rPr>
        <w:t xml:space="preserve">Kaip pasakoja </w:t>
      </w:r>
      <w:r w:rsidR="006D7C4C">
        <w:rPr>
          <w:rFonts w:asciiTheme="majorHAnsi" w:hAnsiTheme="majorHAnsi" w:cstheme="majorHAnsi"/>
          <w:sz w:val="20"/>
        </w:rPr>
        <w:t>advokatų kontoros WIDEN partnerė Julija</w:t>
      </w:r>
      <w:r w:rsidRPr="00D350B9">
        <w:rPr>
          <w:rFonts w:asciiTheme="majorHAnsi" w:hAnsiTheme="majorHAnsi" w:cstheme="majorHAnsi"/>
          <w:sz w:val="20"/>
        </w:rPr>
        <w:t xml:space="preserve"> Šlekonytė, didžioji dalis sukčiavimo atvejų nėra technologinės atakos – tai psichologinės manipuliacijos, nukreiptos į darbuotojų pasitikėjimą.</w:t>
      </w:r>
    </w:p>
    <w:p w14:paraId="184049D5" w14:textId="77777777" w:rsidR="00D350B9" w:rsidRPr="00D350B9" w:rsidRDefault="00D350B9" w:rsidP="00D350B9">
      <w:pPr>
        <w:jc w:val="both"/>
        <w:rPr>
          <w:rFonts w:asciiTheme="majorHAnsi" w:hAnsiTheme="majorHAnsi" w:cstheme="majorHAnsi"/>
          <w:sz w:val="20"/>
        </w:rPr>
      </w:pPr>
    </w:p>
    <w:p w14:paraId="16C104D2" w14:textId="77777777" w:rsidR="00D350B9" w:rsidRDefault="00D350B9" w:rsidP="00D350B9">
      <w:pPr>
        <w:jc w:val="both"/>
        <w:rPr>
          <w:rFonts w:asciiTheme="majorHAnsi" w:hAnsiTheme="majorHAnsi" w:cstheme="majorHAnsi"/>
          <w:sz w:val="20"/>
        </w:rPr>
      </w:pPr>
      <w:r w:rsidRPr="00D350B9">
        <w:rPr>
          <w:rFonts w:asciiTheme="majorHAnsi" w:hAnsiTheme="majorHAnsi" w:cstheme="majorHAnsi"/>
          <w:sz w:val="20"/>
        </w:rPr>
        <w:t>Viena dažniausių sukčių naudojamų schemų – suklastotos sąskaitos faktūros. Sukčiai arba apsimeta tiekėjais, arba perima tikrą susirašinėjimą tarp verslo partnerių. Tokiu atveju jie turi visą reikalingą informaciją: užsakymus, sumas, terminus, net gali lengvai nukopijuoti bendravimo stilių. Dėl to įmonės darbuotojas gauna visiškai autentiškai atrodantį laišką su sąskaita faktūra, kurioje skiriasi tik banko sąskaita, į kurią reikia atlikti mokėjimą. Dažniausiai tai pastebima jau per vėlai – kai tikrasis tiekėjas pradeda reikalauti apmokėjimo.</w:t>
      </w:r>
    </w:p>
    <w:p w14:paraId="134082B2" w14:textId="77777777" w:rsidR="00D350B9" w:rsidRPr="00D350B9" w:rsidRDefault="00D350B9" w:rsidP="00D350B9">
      <w:pPr>
        <w:jc w:val="both"/>
        <w:rPr>
          <w:rFonts w:asciiTheme="majorHAnsi" w:hAnsiTheme="majorHAnsi" w:cstheme="majorHAnsi"/>
          <w:sz w:val="20"/>
        </w:rPr>
      </w:pPr>
    </w:p>
    <w:p w14:paraId="05E2A05E" w14:textId="77777777" w:rsidR="00D350B9" w:rsidRDefault="00D350B9" w:rsidP="00D350B9">
      <w:pPr>
        <w:jc w:val="both"/>
        <w:rPr>
          <w:rFonts w:asciiTheme="majorHAnsi" w:hAnsiTheme="majorHAnsi" w:cstheme="majorHAnsi"/>
          <w:sz w:val="20"/>
        </w:rPr>
      </w:pPr>
      <w:r w:rsidRPr="00D350B9">
        <w:rPr>
          <w:rFonts w:asciiTheme="majorHAnsi" w:hAnsiTheme="majorHAnsi" w:cstheme="majorHAnsi"/>
          <w:sz w:val="20"/>
        </w:rPr>
        <w:t>Tokioje schemoje viskas atrodo įprastai. Tiekėjas parašo iš elektroninio pašto, kuris atrodo tikras ir beveik niekuo nesiskiria nuo originalo (pavyzdžiui, gali skirtis vos vienas simbolis – vietoj „co“ rašoma „com“), gali net būti matomi ankstesnių susirašinėjimų duomenys. Pranešama, kad pasikeitė mokėjimo sąskaita, ir pateikiama atnaujinta sąskaita faktūra su pakeistais duomenimis. Dokumentai atrodo visiškai autentiški – su tikrais tiekimo duomenimis, logotipais ir kitais atpažįstamais elementais.</w:t>
      </w:r>
    </w:p>
    <w:p w14:paraId="0EC40BC9" w14:textId="77777777" w:rsidR="00D350B9" w:rsidRPr="00D350B9" w:rsidRDefault="00D350B9" w:rsidP="00D350B9">
      <w:pPr>
        <w:jc w:val="both"/>
        <w:rPr>
          <w:rFonts w:asciiTheme="majorHAnsi" w:hAnsiTheme="majorHAnsi" w:cstheme="majorHAnsi"/>
          <w:sz w:val="20"/>
        </w:rPr>
      </w:pPr>
    </w:p>
    <w:p w14:paraId="622EF2D7" w14:textId="2454EF90" w:rsidR="00D350B9" w:rsidRDefault="00D350B9" w:rsidP="00D350B9">
      <w:pPr>
        <w:jc w:val="both"/>
        <w:rPr>
          <w:rFonts w:asciiTheme="majorHAnsi" w:hAnsiTheme="majorHAnsi" w:cstheme="majorHAnsi"/>
          <w:sz w:val="20"/>
        </w:rPr>
      </w:pPr>
      <w:r w:rsidRPr="00D350B9">
        <w:rPr>
          <w:rFonts w:asciiTheme="majorHAnsi" w:hAnsiTheme="majorHAnsi" w:cstheme="majorHAnsi"/>
          <w:sz w:val="20"/>
        </w:rPr>
        <w:t xml:space="preserve">Ne mažiau pavojinga ir vadinamoji „netikro vadovo“ schema. </w:t>
      </w:r>
      <w:r w:rsidR="00287E0B">
        <w:rPr>
          <w:rFonts w:asciiTheme="majorHAnsi" w:hAnsiTheme="majorHAnsi" w:cstheme="majorHAnsi"/>
          <w:sz w:val="20"/>
        </w:rPr>
        <w:t>Pasak teisininkės</w:t>
      </w:r>
      <w:r w:rsidRPr="00D350B9">
        <w:rPr>
          <w:rFonts w:asciiTheme="majorHAnsi" w:hAnsiTheme="majorHAnsi" w:cstheme="majorHAnsi"/>
          <w:sz w:val="20"/>
        </w:rPr>
        <w:t>, sukčiai apsimeta įmonės vadovu ir kreipiasi į darbuotojus, prašydami skubiai atlikti mokėjimą ar pateikti jautrius duomenis. Dauguma darbuotojų į tokį prašymą nežiūri įtariai, ypač jei el. pašto adresas, parašas ir kiti duomenys iš pirmo žvilgsnio atrodo patikimi. Būtent tuo ir remiasi sukčiai – tikėjimu, kad darbuotojas pasitikės vadovo prašymu. Kai kuriais atvejais gali būti pasitelkiamos ir pažangios technologijos, leidžiančios imituoti vadovo balsą ar net vaizdą ir taip visiškai įtikinti prašymo realumu.</w:t>
      </w:r>
    </w:p>
    <w:p w14:paraId="1649A361" w14:textId="77777777" w:rsidR="00D350B9" w:rsidRPr="00D350B9" w:rsidRDefault="00D350B9" w:rsidP="00D350B9">
      <w:pPr>
        <w:jc w:val="both"/>
        <w:rPr>
          <w:rFonts w:asciiTheme="majorHAnsi" w:hAnsiTheme="majorHAnsi" w:cstheme="majorHAnsi"/>
          <w:sz w:val="20"/>
        </w:rPr>
      </w:pPr>
    </w:p>
    <w:p w14:paraId="7959FC0C" w14:textId="2396252C" w:rsidR="00D350B9" w:rsidRDefault="00D350B9" w:rsidP="00D350B9">
      <w:pPr>
        <w:jc w:val="both"/>
        <w:rPr>
          <w:rFonts w:asciiTheme="majorHAnsi" w:hAnsiTheme="majorHAnsi" w:cstheme="majorHAnsi"/>
          <w:sz w:val="20"/>
        </w:rPr>
      </w:pPr>
      <w:r w:rsidRPr="00D350B9">
        <w:rPr>
          <w:rFonts w:asciiTheme="majorHAnsi" w:hAnsiTheme="majorHAnsi" w:cstheme="majorHAnsi"/>
          <w:sz w:val="20"/>
        </w:rPr>
        <w:t>Taip pat kuriamas pa</w:t>
      </w:r>
      <w:r w:rsidR="002806F3">
        <w:rPr>
          <w:rFonts w:asciiTheme="majorHAnsi" w:hAnsiTheme="majorHAnsi" w:cstheme="majorHAnsi"/>
          <w:sz w:val="20"/>
        </w:rPr>
        <w:t>tikimumo</w:t>
      </w:r>
      <w:r w:rsidRPr="00D350B9">
        <w:rPr>
          <w:rFonts w:asciiTheme="majorHAnsi" w:hAnsiTheme="majorHAnsi" w:cstheme="majorHAnsi"/>
          <w:sz w:val="20"/>
        </w:rPr>
        <w:t xml:space="preserve"> įspūdis – duomenys atrodo tikri, todėl darbuotojai pasitiki tiekėjo pranešimu apie naują sąskaitą ar direktoriaus prašymu. Be to, dažnai bandoma apeiti įprastas procedūras – atlikti skubų mokėjimą naujam tiekėjui direktoriaus prašymu be atskiros patvirtinimo procedūros. Praktikoje šie signalai dažnai ignoruojami, nes situacija atrodo pernelyg reali, kad keltų įtarimų.</w:t>
      </w:r>
    </w:p>
    <w:p w14:paraId="375FE927" w14:textId="77777777" w:rsidR="002806F3" w:rsidRDefault="002806F3" w:rsidP="00D350B9">
      <w:pPr>
        <w:jc w:val="both"/>
        <w:rPr>
          <w:rFonts w:asciiTheme="majorHAnsi" w:hAnsiTheme="majorHAnsi" w:cstheme="majorHAnsi"/>
          <w:sz w:val="20"/>
        </w:rPr>
      </w:pPr>
    </w:p>
    <w:p w14:paraId="234A9C38" w14:textId="77777777" w:rsidR="002806F3" w:rsidRDefault="002806F3" w:rsidP="002806F3">
      <w:pPr>
        <w:jc w:val="both"/>
        <w:rPr>
          <w:rFonts w:asciiTheme="majorHAnsi" w:hAnsiTheme="majorHAnsi" w:cstheme="majorHAnsi"/>
          <w:sz w:val="20"/>
        </w:rPr>
      </w:pPr>
      <w:r w:rsidRPr="00D350B9">
        <w:rPr>
          <w:rFonts w:asciiTheme="majorHAnsi" w:hAnsiTheme="majorHAnsi" w:cstheme="majorHAnsi"/>
          <w:sz w:val="20"/>
        </w:rPr>
        <w:t xml:space="preserve">Kaip aiškina </w:t>
      </w:r>
      <w:r>
        <w:rPr>
          <w:rFonts w:asciiTheme="majorHAnsi" w:hAnsiTheme="majorHAnsi" w:cstheme="majorHAnsi"/>
          <w:sz w:val="20"/>
        </w:rPr>
        <w:t>finansinių paslaugų teisės ekspertė</w:t>
      </w:r>
      <w:r w:rsidRPr="00D350B9">
        <w:rPr>
          <w:rFonts w:asciiTheme="majorHAnsi" w:hAnsiTheme="majorHAnsi" w:cstheme="majorHAnsi"/>
          <w:sz w:val="20"/>
        </w:rPr>
        <w:t>, šias schemas vienija keli bendri bruožai – kuriamas skubos jausmas, kad mokėjimą reikia atlikti čia ir dabar. „Jeigu kažkas prašo apeiti taisykles – tai jau yra signalas sustoti, net jei prašymas atrodo pagrįstas“, – pabrėžia ji.</w:t>
      </w:r>
    </w:p>
    <w:p w14:paraId="79D4FCDF" w14:textId="77777777" w:rsidR="00D350B9" w:rsidRPr="00D350B9" w:rsidRDefault="00D350B9" w:rsidP="00D350B9">
      <w:pPr>
        <w:jc w:val="both"/>
        <w:rPr>
          <w:rFonts w:asciiTheme="majorHAnsi" w:hAnsiTheme="majorHAnsi" w:cstheme="majorHAnsi"/>
          <w:sz w:val="20"/>
        </w:rPr>
      </w:pPr>
    </w:p>
    <w:p w14:paraId="0C2754AB" w14:textId="77777777" w:rsidR="00D350B9" w:rsidRDefault="00D350B9" w:rsidP="00D350B9">
      <w:pPr>
        <w:jc w:val="both"/>
        <w:rPr>
          <w:rFonts w:asciiTheme="majorHAnsi" w:hAnsiTheme="majorHAnsi" w:cstheme="majorHAnsi"/>
          <w:b/>
          <w:bCs/>
          <w:sz w:val="20"/>
        </w:rPr>
      </w:pPr>
      <w:r w:rsidRPr="00D350B9">
        <w:rPr>
          <w:rFonts w:asciiTheme="majorHAnsi" w:hAnsiTheme="majorHAnsi" w:cstheme="majorHAnsi"/>
          <w:b/>
          <w:bCs/>
          <w:sz w:val="20"/>
        </w:rPr>
        <w:t>Kaip apsisaugoti</w:t>
      </w:r>
    </w:p>
    <w:p w14:paraId="49C0833A" w14:textId="77777777" w:rsidR="00D350B9" w:rsidRPr="00D350B9" w:rsidRDefault="00D350B9" w:rsidP="00D350B9">
      <w:pPr>
        <w:jc w:val="both"/>
        <w:rPr>
          <w:rFonts w:asciiTheme="majorHAnsi" w:hAnsiTheme="majorHAnsi" w:cstheme="majorHAnsi"/>
          <w:b/>
          <w:bCs/>
          <w:sz w:val="20"/>
        </w:rPr>
      </w:pPr>
    </w:p>
    <w:p w14:paraId="5BE7E4C8" w14:textId="773C926A" w:rsidR="00D350B9" w:rsidRDefault="00D350B9" w:rsidP="00D350B9">
      <w:pPr>
        <w:jc w:val="both"/>
        <w:rPr>
          <w:rFonts w:asciiTheme="majorHAnsi" w:hAnsiTheme="majorHAnsi" w:cstheme="majorHAnsi"/>
          <w:sz w:val="20"/>
        </w:rPr>
      </w:pPr>
      <w:r w:rsidRPr="00D350B9">
        <w:rPr>
          <w:rFonts w:asciiTheme="majorHAnsi" w:hAnsiTheme="majorHAnsi" w:cstheme="majorHAnsi"/>
          <w:sz w:val="20"/>
        </w:rPr>
        <w:t>Dėl tokių pa</w:t>
      </w:r>
      <w:r w:rsidR="002806F3">
        <w:rPr>
          <w:rFonts w:asciiTheme="majorHAnsi" w:hAnsiTheme="majorHAnsi" w:cstheme="majorHAnsi"/>
          <w:sz w:val="20"/>
        </w:rPr>
        <w:t>tikimumo įspūdį</w:t>
      </w:r>
      <w:r w:rsidRPr="00D350B9">
        <w:rPr>
          <w:rFonts w:asciiTheme="majorHAnsi" w:hAnsiTheme="majorHAnsi" w:cstheme="majorHAnsi"/>
          <w:sz w:val="20"/>
        </w:rPr>
        <w:t xml:space="preserve"> kuriančių priemonių naudojimo svarbiausia apsauga nėra technologija – tai procesai.</w:t>
      </w:r>
    </w:p>
    <w:p w14:paraId="6A067D32" w14:textId="77777777" w:rsidR="00D350B9" w:rsidRPr="00D350B9" w:rsidRDefault="00D350B9" w:rsidP="00D350B9">
      <w:pPr>
        <w:jc w:val="both"/>
        <w:rPr>
          <w:rFonts w:asciiTheme="majorHAnsi" w:hAnsiTheme="majorHAnsi" w:cstheme="majorHAnsi"/>
          <w:sz w:val="20"/>
        </w:rPr>
      </w:pPr>
    </w:p>
    <w:p w14:paraId="6A40C37E" w14:textId="3E4ADA46" w:rsidR="00D350B9" w:rsidRDefault="00D350B9" w:rsidP="00D350B9">
      <w:pPr>
        <w:jc w:val="both"/>
        <w:rPr>
          <w:rFonts w:asciiTheme="majorHAnsi" w:hAnsiTheme="majorHAnsi" w:cstheme="majorHAnsi"/>
          <w:sz w:val="20"/>
        </w:rPr>
      </w:pPr>
      <w:r w:rsidRPr="00D350B9">
        <w:rPr>
          <w:rFonts w:asciiTheme="majorHAnsi" w:hAnsiTheme="majorHAnsi" w:cstheme="majorHAnsi"/>
          <w:sz w:val="20"/>
        </w:rPr>
        <w:t xml:space="preserve">Įmonės, kurios taiko dvigubo patikrinimo principus, ženkliai sumažina riziką. </w:t>
      </w:r>
      <w:r w:rsidR="002806F3">
        <w:rPr>
          <w:rFonts w:asciiTheme="majorHAnsi" w:hAnsiTheme="majorHAnsi" w:cstheme="majorHAnsi"/>
          <w:sz w:val="20"/>
        </w:rPr>
        <w:t>„</w:t>
      </w:r>
      <w:r w:rsidRPr="00D350B9">
        <w:rPr>
          <w:rFonts w:asciiTheme="majorHAnsi" w:hAnsiTheme="majorHAnsi" w:cstheme="majorHAnsi"/>
          <w:sz w:val="20"/>
        </w:rPr>
        <w:t>Pavyzdžiui, gali būti taikomas keturių akių principas įvedant naujus tiekėjus ar jų mokėjimo rekvizitus į sistemas, taip pat dviejų parašų reikalavimas atliekant mokėjimus. Be to, tikslinga nustatyti papildomas patikrinimo procedūras mokėjimams, susijusiems su pasikeitusiais rekvizitais ar naujai atsiradusiais tiekėjais – mokėjimas neturėtų būti vykdomas, kol negaunamas papildomas patvirtinimas, pavyzdžiui, susisiekiant su tiekėju jau turimais kontaktais arba paskambinant vadovui</w:t>
      </w:r>
      <w:r w:rsidR="002806F3">
        <w:rPr>
          <w:rFonts w:asciiTheme="majorHAnsi" w:hAnsiTheme="majorHAnsi" w:cstheme="majorHAnsi"/>
          <w:sz w:val="20"/>
        </w:rPr>
        <w:t>“, – pataria advokatė J. Šlekonytė.</w:t>
      </w:r>
    </w:p>
    <w:p w14:paraId="44188711" w14:textId="77777777" w:rsidR="00D350B9" w:rsidRPr="00D350B9" w:rsidRDefault="00D350B9" w:rsidP="00D350B9">
      <w:pPr>
        <w:jc w:val="both"/>
        <w:rPr>
          <w:rFonts w:asciiTheme="majorHAnsi" w:hAnsiTheme="majorHAnsi" w:cstheme="majorHAnsi"/>
          <w:sz w:val="20"/>
        </w:rPr>
      </w:pPr>
    </w:p>
    <w:p w14:paraId="519895C2" w14:textId="77777777" w:rsidR="00D350B9" w:rsidRDefault="00D350B9" w:rsidP="00D350B9">
      <w:pPr>
        <w:jc w:val="both"/>
        <w:rPr>
          <w:rFonts w:asciiTheme="majorHAnsi" w:hAnsiTheme="majorHAnsi" w:cstheme="majorHAnsi"/>
          <w:sz w:val="20"/>
        </w:rPr>
      </w:pPr>
      <w:r w:rsidRPr="00D350B9">
        <w:rPr>
          <w:rFonts w:asciiTheme="majorHAnsi" w:hAnsiTheme="majorHAnsi" w:cstheme="majorHAnsi"/>
          <w:sz w:val="20"/>
        </w:rPr>
        <w:t>Svarbus ir darbuotojų švietimas. Darbuotojai turi būti nuolat informuojami apie naujausias sukčiavimo schemas, mokomi jas atpažinti, nepasiduoti spaudimui ir skubos jausmui, laikytis procedūrų bei kruopščiai tikrinti el. laiškų duomenis.</w:t>
      </w:r>
    </w:p>
    <w:p w14:paraId="06EF9E86" w14:textId="77777777" w:rsidR="00D350B9" w:rsidRPr="00D350B9" w:rsidRDefault="00D350B9" w:rsidP="00D350B9">
      <w:pPr>
        <w:jc w:val="both"/>
        <w:rPr>
          <w:rFonts w:asciiTheme="majorHAnsi" w:hAnsiTheme="majorHAnsi" w:cstheme="majorHAnsi"/>
          <w:sz w:val="20"/>
        </w:rPr>
      </w:pPr>
    </w:p>
    <w:p w14:paraId="65B61D46" w14:textId="77777777" w:rsidR="00D350B9" w:rsidRDefault="00D350B9" w:rsidP="00D350B9">
      <w:pPr>
        <w:jc w:val="both"/>
        <w:rPr>
          <w:rFonts w:asciiTheme="majorHAnsi" w:hAnsiTheme="majorHAnsi" w:cstheme="majorHAnsi"/>
          <w:sz w:val="20"/>
        </w:rPr>
      </w:pPr>
      <w:r w:rsidRPr="00D350B9">
        <w:rPr>
          <w:rFonts w:asciiTheme="majorHAnsi" w:hAnsiTheme="majorHAnsi" w:cstheme="majorHAnsi"/>
          <w:sz w:val="20"/>
        </w:rPr>
        <w:t>Reikšmingos ir mokėjimo paslaugų teikėjų taikomos apsaugos priemonės. Nuo 2025 m. spalio 9 d. visoje ES mokėjimo paslaugų teikėjai privalo informuoti mokėtoją, ar jo suvesti gavėjo duomenys atitinka sąskaitos savininko duomenis. Ši funkcija turėtų būti aktyviai naudojama atliekant mokėjimus tiekėjams.</w:t>
      </w:r>
    </w:p>
    <w:p w14:paraId="0DD698D4" w14:textId="77777777" w:rsidR="00D350B9" w:rsidRPr="00D350B9" w:rsidRDefault="00D350B9" w:rsidP="00D350B9">
      <w:pPr>
        <w:jc w:val="both"/>
        <w:rPr>
          <w:rFonts w:asciiTheme="majorHAnsi" w:hAnsiTheme="majorHAnsi" w:cstheme="majorHAnsi"/>
          <w:sz w:val="20"/>
        </w:rPr>
      </w:pPr>
    </w:p>
    <w:p w14:paraId="168DF28E" w14:textId="77777777" w:rsidR="00D350B9" w:rsidRDefault="00D350B9" w:rsidP="00D350B9">
      <w:pPr>
        <w:jc w:val="both"/>
        <w:rPr>
          <w:rFonts w:asciiTheme="majorHAnsi" w:hAnsiTheme="majorHAnsi" w:cstheme="majorHAnsi"/>
          <w:b/>
          <w:bCs/>
          <w:sz w:val="20"/>
        </w:rPr>
      </w:pPr>
      <w:r w:rsidRPr="00D350B9">
        <w:rPr>
          <w:rFonts w:asciiTheme="majorHAnsi" w:hAnsiTheme="majorHAnsi" w:cstheme="majorHAnsi"/>
          <w:b/>
          <w:bCs/>
          <w:sz w:val="20"/>
        </w:rPr>
        <w:t>Ką daryti nukentėjus?</w:t>
      </w:r>
    </w:p>
    <w:p w14:paraId="4A6D452F" w14:textId="77777777" w:rsidR="00D350B9" w:rsidRPr="00D350B9" w:rsidRDefault="00D350B9" w:rsidP="00D350B9">
      <w:pPr>
        <w:jc w:val="both"/>
        <w:rPr>
          <w:rFonts w:asciiTheme="majorHAnsi" w:hAnsiTheme="majorHAnsi" w:cstheme="majorHAnsi"/>
          <w:b/>
          <w:bCs/>
          <w:sz w:val="20"/>
        </w:rPr>
      </w:pPr>
    </w:p>
    <w:p w14:paraId="186040FA" w14:textId="10120674" w:rsidR="008964A1" w:rsidRPr="00D350B9" w:rsidRDefault="00D350B9" w:rsidP="00D350B9">
      <w:pPr>
        <w:jc w:val="both"/>
        <w:rPr>
          <w:rFonts w:asciiTheme="majorHAnsi" w:hAnsiTheme="majorHAnsi" w:cstheme="majorHAnsi"/>
          <w:sz w:val="20"/>
        </w:rPr>
      </w:pPr>
      <w:r w:rsidRPr="00D350B9">
        <w:rPr>
          <w:rFonts w:asciiTheme="majorHAnsi" w:hAnsiTheme="majorHAnsi" w:cstheme="majorHAnsi"/>
          <w:sz w:val="20"/>
        </w:rPr>
        <w:t xml:space="preserve">Jei sukčiavimas vis dėlto įvyksta, </w:t>
      </w:r>
      <w:r w:rsidR="002806F3">
        <w:rPr>
          <w:rFonts w:asciiTheme="majorHAnsi" w:hAnsiTheme="majorHAnsi" w:cstheme="majorHAnsi"/>
          <w:sz w:val="20"/>
        </w:rPr>
        <w:t>laikas tampa kritiniu veiksniu. Pasak advokatų kontoros WIDEN partnerės Julijos Šlekonytės, p</w:t>
      </w:r>
      <w:r w:rsidRPr="00D350B9">
        <w:rPr>
          <w:rFonts w:asciiTheme="majorHAnsi" w:hAnsiTheme="majorHAnsi" w:cstheme="majorHAnsi"/>
          <w:sz w:val="20"/>
        </w:rPr>
        <w:t>irmasis žingsnis – nedelsiant kreiptis į banką, nes kai kuriais atvejais mokėjimą dar galima sustabdyti arba atsekti lėšas. Toliau būtina informuoti teisėsaugą ir įvertinti vidines spragas, kad panašios situacijos nepasikartotų ateityje.</w:t>
      </w:r>
    </w:p>
    <w:sectPr w:rsidR="008964A1" w:rsidRPr="00D350B9" w:rsidSect="008656BC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40" w:right="1440" w:bottom="1436" w:left="1440" w:header="454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F994E" w14:textId="77777777" w:rsidR="00700DF3" w:rsidRDefault="00700DF3" w:rsidP="00EE4433">
      <w:r>
        <w:separator/>
      </w:r>
    </w:p>
  </w:endnote>
  <w:endnote w:type="continuationSeparator" w:id="0">
    <w:p w14:paraId="78933156" w14:textId="77777777" w:rsidR="00700DF3" w:rsidRDefault="00700DF3" w:rsidP="00EE4433">
      <w:r>
        <w:continuationSeparator/>
      </w:r>
    </w:p>
  </w:endnote>
  <w:endnote w:type="continuationNotice" w:id="1">
    <w:p w14:paraId="2E9D1244" w14:textId="77777777" w:rsidR="00700DF3" w:rsidRDefault="00700D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  <w:embedRegular r:id="rId1" w:fontKey="{D76755C7-8C49-4657-8579-400023AE5EAF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  <w:sz w:val="13"/>
        <w:szCs w:val="13"/>
      </w:rPr>
      <w:id w:val="-80330901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A871653" w14:textId="77777777" w:rsidR="00E57350" w:rsidRPr="00E57350" w:rsidRDefault="00E57350" w:rsidP="00E57350">
        <w:pPr>
          <w:pStyle w:val="Footer"/>
          <w:framePr w:wrap="notBeside" w:vAnchor="text" w:hAnchor="page" w:x="11160" w:y="114"/>
          <w:jc w:val="center"/>
          <w:rPr>
            <w:rStyle w:val="PageNumber"/>
            <w:sz w:val="13"/>
            <w:szCs w:val="13"/>
          </w:rPr>
        </w:pPr>
        <w:r w:rsidRPr="00E57350">
          <w:rPr>
            <w:rStyle w:val="PageNumber"/>
            <w:sz w:val="13"/>
            <w:szCs w:val="13"/>
          </w:rPr>
          <w:fldChar w:fldCharType="begin"/>
        </w:r>
        <w:r w:rsidRPr="00E57350">
          <w:rPr>
            <w:rStyle w:val="PageNumber"/>
            <w:sz w:val="13"/>
            <w:szCs w:val="13"/>
          </w:rPr>
          <w:instrText xml:space="preserve"> PAGE </w:instrText>
        </w:r>
        <w:r w:rsidRPr="00E57350">
          <w:rPr>
            <w:rStyle w:val="PageNumber"/>
            <w:sz w:val="13"/>
            <w:szCs w:val="13"/>
          </w:rPr>
          <w:fldChar w:fldCharType="separate"/>
        </w:r>
        <w:r>
          <w:rPr>
            <w:rStyle w:val="PageNumber"/>
            <w:sz w:val="13"/>
            <w:szCs w:val="13"/>
          </w:rPr>
          <w:t>1</w:t>
        </w:r>
        <w:r w:rsidRPr="00E57350">
          <w:rPr>
            <w:rStyle w:val="PageNumber"/>
            <w:sz w:val="13"/>
            <w:szCs w:val="13"/>
          </w:rPr>
          <w:fldChar w:fldCharType="end"/>
        </w:r>
      </w:p>
    </w:sdtContent>
  </w:sdt>
  <w:p w14:paraId="7B70249F" w14:textId="77777777" w:rsidR="00A90B68" w:rsidRPr="00E57350" w:rsidRDefault="0037279A" w:rsidP="0037279A">
    <w:pPr>
      <w:tabs>
        <w:tab w:val="left" w:pos="800"/>
        <w:tab w:val="right" w:pos="9026"/>
      </w:tabs>
      <w:rPr>
        <w:rFonts w:cstheme="minorHAnsi"/>
        <w:color w:val="000000" w:themeColor="text1"/>
        <w:sz w:val="16"/>
        <w:szCs w:val="16"/>
      </w:rPr>
    </w:pPr>
    <w:r>
      <w:rPr>
        <w:rFonts w:cstheme="minorHAnsi"/>
        <w:color w:val="000000" w:themeColor="text1"/>
        <w:sz w:val="18"/>
        <w:szCs w:val="18"/>
      </w:rPr>
      <w:tab/>
    </w:r>
    <w:r w:rsidR="00DD53DD">
      <w:rPr>
        <w:rFonts w:cstheme="minorHAnsi"/>
        <w:noProof/>
        <w:color w:val="000000" w:themeColor="text1"/>
        <w:sz w:val="16"/>
        <w:szCs w:val="16"/>
      </w:rPr>
      <w:drawing>
        <wp:inline distT="0" distB="0" distL="0" distR="0" wp14:anchorId="7F1285E7" wp14:editId="04A7EFE0">
          <wp:extent cx="5727700" cy="69850"/>
          <wp:effectExtent l="0" t="0" r="6350" b="6350"/>
          <wp:docPr id="1980093576" name="Picture 19800935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69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  <w:sz w:val="13"/>
        <w:szCs w:val="13"/>
      </w:rPr>
      <w:id w:val="-173892507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6B604AF" w14:textId="77777777" w:rsidR="00E57350" w:rsidRPr="00E57350" w:rsidRDefault="00E57350" w:rsidP="00E57350">
        <w:pPr>
          <w:pStyle w:val="Footer"/>
          <w:framePr w:wrap="notBeside" w:vAnchor="text" w:hAnchor="page" w:x="11160" w:y="114"/>
          <w:jc w:val="center"/>
          <w:rPr>
            <w:rStyle w:val="PageNumber"/>
            <w:sz w:val="13"/>
            <w:szCs w:val="13"/>
          </w:rPr>
        </w:pPr>
        <w:r w:rsidRPr="00E57350">
          <w:rPr>
            <w:rStyle w:val="PageNumber"/>
            <w:sz w:val="13"/>
            <w:szCs w:val="13"/>
          </w:rPr>
          <w:fldChar w:fldCharType="begin"/>
        </w:r>
        <w:r w:rsidRPr="00E57350">
          <w:rPr>
            <w:rStyle w:val="PageNumber"/>
            <w:sz w:val="13"/>
            <w:szCs w:val="13"/>
          </w:rPr>
          <w:instrText xml:space="preserve"> PAGE </w:instrText>
        </w:r>
        <w:r w:rsidRPr="00E57350">
          <w:rPr>
            <w:rStyle w:val="PageNumber"/>
            <w:sz w:val="13"/>
            <w:szCs w:val="13"/>
          </w:rPr>
          <w:fldChar w:fldCharType="separate"/>
        </w:r>
        <w:r w:rsidRPr="00E57350">
          <w:rPr>
            <w:rStyle w:val="PageNumber"/>
            <w:noProof/>
            <w:sz w:val="13"/>
            <w:szCs w:val="13"/>
          </w:rPr>
          <w:t>1</w:t>
        </w:r>
        <w:r w:rsidRPr="00E57350">
          <w:rPr>
            <w:rStyle w:val="PageNumber"/>
            <w:sz w:val="13"/>
            <w:szCs w:val="13"/>
          </w:rPr>
          <w:fldChar w:fldCharType="end"/>
        </w:r>
      </w:p>
    </w:sdtContent>
  </w:sdt>
  <w:p w14:paraId="0FDE7339" w14:textId="77777777" w:rsidR="001F3439" w:rsidRPr="005263DC" w:rsidRDefault="00DD53DD" w:rsidP="0037279A">
    <w:pPr>
      <w:tabs>
        <w:tab w:val="left" w:pos="800"/>
        <w:tab w:val="right" w:pos="9026"/>
      </w:tabs>
      <w:rPr>
        <w:rFonts w:cstheme="minorHAnsi"/>
        <w:color w:val="000000" w:themeColor="text1"/>
        <w:sz w:val="16"/>
        <w:szCs w:val="16"/>
      </w:rPr>
    </w:pPr>
    <w:r>
      <w:rPr>
        <w:rFonts w:cstheme="minorHAnsi"/>
        <w:noProof/>
        <w:color w:val="000000" w:themeColor="text1"/>
        <w:sz w:val="16"/>
        <w:szCs w:val="16"/>
      </w:rPr>
      <w:drawing>
        <wp:inline distT="0" distB="0" distL="0" distR="0" wp14:anchorId="3A13AB20" wp14:editId="1F98B9E7">
          <wp:extent cx="5727700" cy="69850"/>
          <wp:effectExtent l="0" t="0" r="6350" b="635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69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9EE65" w14:textId="77777777" w:rsidR="00700DF3" w:rsidRDefault="00700DF3" w:rsidP="00EE4433">
      <w:r>
        <w:separator/>
      </w:r>
    </w:p>
  </w:footnote>
  <w:footnote w:type="continuationSeparator" w:id="0">
    <w:p w14:paraId="2B699B11" w14:textId="77777777" w:rsidR="00700DF3" w:rsidRDefault="00700DF3" w:rsidP="00EE4433">
      <w:r>
        <w:continuationSeparator/>
      </w:r>
    </w:p>
  </w:footnote>
  <w:footnote w:type="continuationNotice" w:id="1">
    <w:p w14:paraId="699F1D95" w14:textId="77777777" w:rsidR="00700DF3" w:rsidRDefault="00700D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0CFF2" w14:textId="77777777" w:rsidR="18119608" w:rsidRPr="00A90B68" w:rsidRDefault="00A90B68" w:rsidP="18119608">
    <w:pPr>
      <w:rPr>
        <w:lang w:val="en-US"/>
      </w:rPr>
    </w:pPr>
    <w:r w:rsidRPr="004F25FD">
      <w:rPr>
        <w:noProof/>
        <w:sz w:val="18"/>
        <w:szCs w:val="18"/>
      </w:rPr>
      <w:drawing>
        <wp:anchor distT="0" distB="0" distL="114300" distR="114300" simplePos="0" relativeHeight="251661312" behindDoc="1" locked="0" layoutInCell="1" allowOverlap="1" wp14:anchorId="5AD841FC" wp14:editId="3568585C">
          <wp:simplePos x="0" y="0"/>
          <wp:positionH relativeFrom="margin">
            <wp:posOffset>5598160</wp:posOffset>
          </wp:positionH>
          <wp:positionV relativeFrom="margin">
            <wp:posOffset>-860588</wp:posOffset>
          </wp:positionV>
          <wp:extent cx="987889" cy="757382"/>
          <wp:effectExtent l="0" t="0" r="0" b="0"/>
          <wp:wrapNone/>
          <wp:docPr id="213929531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9295319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7889" cy="7573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25D11" w14:textId="77777777" w:rsidR="001E5496" w:rsidRDefault="004230B4">
    <w:r>
      <w:rPr>
        <w:rFonts w:cstheme="minorHAnsi"/>
        <w:noProof/>
        <w:color w:val="000000" w:themeColor="text1"/>
        <w:lang w:val="en-US" w:eastAsia="en-GB"/>
        <w14:ligatures w14:val="standardContextual"/>
      </w:rPr>
      <w:drawing>
        <wp:anchor distT="0" distB="0" distL="114300" distR="114300" simplePos="0" relativeHeight="251662336" behindDoc="1" locked="0" layoutInCell="1" allowOverlap="1" wp14:anchorId="39AA08B7" wp14:editId="4B1D31FE">
          <wp:simplePos x="0" y="0"/>
          <wp:positionH relativeFrom="column">
            <wp:posOffset>-61784</wp:posOffset>
          </wp:positionH>
          <wp:positionV relativeFrom="paragraph">
            <wp:posOffset>243325</wp:posOffset>
          </wp:positionV>
          <wp:extent cx="1791730" cy="322359"/>
          <wp:effectExtent l="0" t="0" r="0" b="0"/>
          <wp:wrapNone/>
          <wp:docPr id="42886847" name="Graphic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8135069" name="Graphic 318135069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l="8745" t="25763" r="7706" b="27263"/>
                  <a:stretch/>
                </pic:blipFill>
                <pic:spPr bwMode="auto">
                  <a:xfrm>
                    <a:off x="0" y="0"/>
                    <a:ext cx="1791730" cy="32235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33A34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6E2513"/>
    <w:multiLevelType w:val="hybridMultilevel"/>
    <w:tmpl w:val="1AD00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41E45"/>
    <w:multiLevelType w:val="hybridMultilevel"/>
    <w:tmpl w:val="8F986012"/>
    <w:lvl w:ilvl="0" w:tplc="58FC50D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97D08"/>
    <w:multiLevelType w:val="hybridMultilevel"/>
    <w:tmpl w:val="E51C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251B65"/>
    <w:multiLevelType w:val="hybridMultilevel"/>
    <w:tmpl w:val="715A1D5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9D3F7B"/>
    <w:multiLevelType w:val="multilevel"/>
    <w:tmpl w:val="604A5C6C"/>
    <w:lvl w:ilvl="0">
      <w:start w:val="1"/>
      <w:numFmt w:val="decimal"/>
      <w:pStyle w:val="Wtext1stlevel"/>
      <w:lvlText w:val="%1."/>
      <w:lvlJc w:val="left"/>
      <w:pPr>
        <w:ind w:left="567" w:hanging="567"/>
      </w:pPr>
      <w:rPr>
        <w:rFonts w:hint="default"/>
        <w:b/>
        <w:bCs/>
      </w:rPr>
    </w:lvl>
    <w:lvl w:ilvl="1">
      <w:start w:val="1"/>
      <w:numFmt w:val="decimal"/>
      <w:pStyle w:val="Wtext2leve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Wtext3rdlevel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Wtext4thlevel"/>
      <w:lvlText w:val="(%4)"/>
      <w:lvlJc w:val="left"/>
      <w:pPr>
        <w:ind w:left="1134" w:hanging="567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D591E03"/>
    <w:multiLevelType w:val="multilevel"/>
    <w:tmpl w:val="9A2E67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DA71BE8"/>
    <w:multiLevelType w:val="hybridMultilevel"/>
    <w:tmpl w:val="B90EBC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3D338C"/>
    <w:multiLevelType w:val="multilevel"/>
    <w:tmpl w:val="98709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F607C16"/>
    <w:multiLevelType w:val="multilevel"/>
    <w:tmpl w:val="B2805984"/>
    <w:lvl w:ilvl="0">
      <w:start w:val="1"/>
      <w:numFmt w:val="decimal"/>
      <w:pStyle w:val="WtextLT1stlevel"/>
      <w:lvlText w:val="%1."/>
      <w:lvlJc w:val="left"/>
      <w:pPr>
        <w:ind w:left="567" w:hanging="567"/>
      </w:pPr>
      <w:rPr>
        <w:rFonts w:hint="default"/>
        <w:b/>
        <w:bCs w:val="0"/>
      </w:rPr>
    </w:lvl>
    <w:lvl w:ilvl="1">
      <w:start w:val="1"/>
      <w:numFmt w:val="decimal"/>
      <w:pStyle w:val="WtextLT2ndleve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WtextLT3rdlevel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WtextLT4thlevel"/>
      <w:lvlText w:val="(%4)"/>
      <w:lvlJc w:val="left"/>
      <w:pPr>
        <w:ind w:left="1134" w:hanging="567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2C964A1"/>
    <w:multiLevelType w:val="multilevel"/>
    <w:tmpl w:val="2D52260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567" w:hanging="56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A7477B7"/>
    <w:multiLevelType w:val="hybridMultilevel"/>
    <w:tmpl w:val="00CAA03C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C0B0DFF"/>
    <w:multiLevelType w:val="hybridMultilevel"/>
    <w:tmpl w:val="2788EF0A"/>
    <w:lvl w:ilvl="0" w:tplc="0427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3" w15:restartNumberingAfterBreak="0">
    <w:nsid w:val="7D544768"/>
    <w:multiLevelType w:val="hybridMultilevel"/>
    <w:tmpl w:val="5FB03B5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6003289">
    <w:abstractNumId w:val="0"/>
  </w:num>
  <w:num w:numId="2" w16cid:durableId="654063971">
    <w:abstractNumId w:val="11"/>
  </w:num>
  <w:num w:numId="3" w16cid:durableId="1715616581">
    <w:abstractNumId w:val="5"/>
  </w:num>
  <w:num w:numId="4" w16cid:durableId="2112503261">
    <w:abstractNumId w:val="6"/>
  </w:num>
  <w:num w:numId="5" w16cid:durableId="677536013">
    <w:abstractNumId w:val="10"/>
  </w:num>
  <w:num w:numId="6" w16cid:durableId="773982018">
    <w:abstractNumId w:val="9"/>
  </w:num>
  <w:num w:numId="7" w16cid:durableId="146939200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06396001">
    <w:abstractNumId w:val="4"/>
  </w:num>
  <w:num w:numId="9" w16cid:durableId="125851813">
    <w:abstractNumId w:val="12"/>
  </w:num>
  <w:num w:numId="10" w16cid:durableId="1154179817">
    <w:abstractNumId w:val="13"/>
  </w:num>
  <w:num w:numId="11" w16cid:durableId="118842611">
    <w:abstractNumId w:val="1"/>
  </w:num>
  <w:num w:numId="12" w16cid:durableId="1732341814">
    <w:abstractNumId w:val="8"/>
  </w:num>
  <w:num w:numId="13" w16cid:durableId="908075220">
    <w:abstractNumId w:val="2"/>
  </w:num>
  <w:num w:numId="14" w16cid:durableId="1312320832">
    <w:abstractNumId w:val="3"/>
  </w:num>
  <w:num w:numId="15" w16cid:durableId="5955550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3CE"/>
    <w:rsid w:val="00002913"/>
    <w:rsid w:val="0001325F"/>
    <w:rsid w:val="00017444"/>
    <w:rsid w:val="00051CE9"/>
    <w:rsid w:val="000642A0"/>
    <w:rsid w:val="000863EA"/>
    <w:rsid w:val="00087988"/>
    <w:rsid w:val="00093971"/>
    <w:rsid w:val="00095D38"/>
    <w:rsid w:val="000A288E"/>
    <w:rsid w:val="000B2A4E"/>
    <w:rsid w:val="000C3BB1"/>
    <w:rsid w:val="000D79C7"/>
    <w:rsid w:val="000E37FE"/>
    <w:rsid w:val="000E46F3"/>
    <w:rsid w:val="000F42E3"/>
    <w:rsid w:val="0011134E"/>
    <w:rsid w:val="00112FC1"/>
    <w:rsid w:val="00113639"/>
    <w:rsid w:val="001148BA"/>
    <w:rsid w:val="00130E8B"/>
    <w:rsid w:val="00136DCD"/>
    <w:rsid w:val="00140184"/>
    <w:rsid w:val="00160440"/>
    <w:rsid w:val="001824DD"/>
    <w:rsid w:val="001B2462"/>
    <w:rsid w:val="001B6C6E"/>
    <w:rsid w:val="001C158A"/>
    <w:rsid w:val="001C1A3F"/>
    <w:rsid w:val="001C2FCC"/>
    <w:rsid w:val="001D189F"/>
    <w:rsid w:val="001E5496"/>
    <w:rsid w:val="001E7A6F"/>
    <w:rsid w:val="001F2311"/>
    <w:rsid w:val="001F3439"/>
    <w:rsid w:val="00211606"/>
    <w:rsid w:val="0023276D"/>
    <w:rsid w:val="002375B1"/>
    <w:rsid w:val="00245024"/>
    <w:rsid w:val="00247AC2"/>
    <w:rsid w:val="0025700C"/>
    <w:rsid w:val="00257E6C"/>
    <w:rsid w:val="00261C08"/>
    <w:rsid w:val="00266CD3"/>
    <w:rsid w:val="00272D22"/>
    <w:rsid w:val="002806F3"/>
    <w:rsid w:val="00283144"/>
    <w:rsid w:val="00287E0B"/>
    <w:rsid w:val="002927CC"/>
    <w:rsid w:val="00297750"/>
    <w:rsid w:val="002B6944"/>
    <w:rsid w:val="002B74E5"/>
    <w:rsid w:val="002D12B7"/>
    <w:rsid w:val="002D16DD"/>
    <w:rsid w:val="002D1D85"/>
    <w:rsid w:val="002E6DB5"/>
    <w:rsid w:val="002F31F9"/>
    <w:rsid w:val="002F6E9C"/>
    <w:rsid w:val="00300371"/>
    <w:rsid w:val="00304247"/>
    <w:rsid w:val="00305E4E"/>
    <w:rsid w:val="00327F7A"/>
    <w:rsid w:val="00330558"/>
    <w:rsid w:val="003317B3"/>
    <w:rsid w:val="003317B4"/>
    <w:rsid w:val="00331FA9"/>
    <w:rsid w:val="0033438D"/>
    <w:rsid w:val="00340847"/>
    <w:rsid w:val="003534F7"/>
    <w:rsid w:val="00362BB5"/>
    <w:rsid w:val="0036321A"/>
    <w:rsid w:val="0037037B"/>
    <w:rsid w:val="0037044D"/>
    <w:rsid w:val="0037279A"/>
    <w:rsid w:val="00384B34"/>
    <w:rsid w:val="00386BB4"/>
    <w:rsid w:val="00390802"/>
    <w:rsid w:val="003A2CFF"/>
    <w:rsid w:val="003A3A4F"/>
    <w:rsid w:val="003A50AF"/>
    <w:rsid w:val="003A5578"/>
    <w:rsid w:val="003A6C14"/>
    <w:rsid w:val="003B13B2"/>
    <w:rsid w:val="003C1A78"/>
    <w:rsid w:val="003C2811"/>
    <w:rsid w:val="003C65D3"/>
    <w:rsid w:val="003D2A39"/>
    <w:rsid w:val="003E6035"/>
    <w:rsid w:val="004046B4"/>
    <w:rsid w:val="004078B1"/>
    <w:rsid w:val="00422EAF"/>
    <w:rsid w:val="004230B4"/>
    <w:rsid w:val="00425458"/>
    <w:rsid w:val="00460D20"/>
    <w:rsid w:val="0046273B"/>
    <w:rsid w:val="00472E40"/>
    <w:rsid w:val="00484ED8"/>
    <w:rsid w:val="004855C5"/>
    <w:rsid w:val="004978E6"/>
    <w:rsid w:val="004A3BDA"/>
    <w:rsid w:val="004B1B23"/>
    <w:rsid w:val="004B4BC1"/>
    <w:rsid w:val="004B58EE"/>
    <w:rsid w:val="004C1B94"/>
    <w:rsid w:val="004D010E"/>
    <w:rsid w:val="004F244B"/>
    <w:rsid w:val="00504C26"/>
    <w:rsid w:val="00505461"/>
    <w:rsid w:val="005263DC"/>
    <w:rsid w:val="00551B45"/>
    <w:rsid w:val="00562B84"/>
    <w:rsid w:val="00566CAD"/>
    <w:rsid w:val="00572F9C"/>
    <w:rsid w:val="0058720D"/>
    <w:rsid w:val="005916B8"/>
    <w:rsid w:val="00591BF9"/>
    <w:rsid w:val="0059582F"/>
    <w:rsid w:val="0059677E"/>
    <w:rsid w:val="005A24EA"/>
    <w:rsid w:val="005A7176"/>
    <w:rsid w:val="005B63D3"/>
    <w:rsid w:val="005D7677"/>
    <w:rsid w:val="006018D6"/>
    <w:rsid w:val="00605C9C"/>
    <w:rsid w:val="00610F14"/>
    <w:rsid w:val="006150BC"/>
    <w:rsid w:val="006156C3"/>
    <w:rsid w:val="006159DF"/>
    <w:rsid w:val="00616FCC"/>
    <w:rsid w:val="00651703"/>
    <w:rsid w:val="00653AE0"/>
    <w:rsid w:val="00656AA6"/>
    <w:rsid w:val="00664E1F"/>
    <w:rsid w:val="00674D9A"/>
    <w:rsid w:val="00685C09"/>
    <w:rsid w:val="00695C2E"/>
    <w:rsid w:val="006963A5"/>
    <w:rsid w:val="00697209"/>
    <w:rsid w:val="006A02E7"/>
    <w:rsid w:val="006A6067"/>
    <w:rsid w:val="006B788F"/>
    <w:rsid w:val="006C3542"/>
    <w:rsid w:val="006C3D85"/>
    <w:rsid w:val="006D0EE4"/>
    <w:rsid w:val="006D77F0"/>
    <w:rsid w:val="006D7C4C"/>
    <w:rsid w:val="00700DF3"/>
    <w:rsid w:val="00701443"/>
    <w:rsid w:val="00724127"/>
    <w:rsid w:val="007725BF"/>
    <w:rsid w:val="00792C1F"/>
    <w:rsid w:val="007A5F57"/>
    <w:rsid w:val="007B1E6F"/>
    <w:rsid w:val="007D0732"/>
    <w:rsid w:val="007D0846"/>
    <w:rsid w:val="007E677A"/>
    <w:rsid w:val="007F4C4C"/>
    <w:rsid w:val="00805AED"/>
    <w:rsid w:val="00810776"/>
    <w:rsid w:val="0081782B"/>
    <w:rsid w:val="00824F3B"/>
    <w:rsid w:val="00825589"/>
    <w:rsid w:val="00833373"/>
    <w:rsid w:val="00837A89"/>
    <w:rsid w:val="00847491"/>
    <w:rsid w:val="008600A5"/>
    <w:rsid w:val="008635FB"/>
    <w:rsid w:val="008656BC"/>
    <w:rsid w:val="008927E1"/>
    <w:rsid w:val="008964A1"/>
    <w:rsid w:val="008A5B9C"/>
    <w:rsid w:val="008C0C1C"/>
    <w:rsid w:val="008C1F9F"/>
    <w:rsid w:val="008C2455"/>
    <w:rsid w:val="008C2677"/>
    <w:rsid w:val="008C597D"/>
    <w:rsid w:val="008D4B19"/>
    <w:rsid w:val="008E00B9"/>
    <w:rsid w:val="008E74FF"/>
    <w:rsid w:val="008F472E"/>
    <w:rsid w:val="008F50B2"/>
    <w:rsid w:val="00915E76"/>
    <w:rsid w:val="009233F4"/>
    <w:rsid w:val="009458A8"/>
    <w:rsid w:val="00965CC9"/>
    <w:rsid w:val="00966707"/>
    <w:rsid w:val="00980E69"/>
    <w:rsid w:val="0098549F"/>
    <w:rsid w:val="00986C27"/>
    <w:rsid w:val="00994F3C"/>
    <w:rsid w:val="009A48DF"/>
    <w:rsid w:val="009B3B7E"/>
    <w:rsid w:val="00A12E69"/>
    <w:rsid w:val="00A15102"/>
    <w:rsid w:val="00A16947"/>
    <w:rsid w:val="00A42A14"/>
    <w:rsid w:val="00A67AD5"/>
    <w:rsid w:val="00A90B68"/>
    <w:rsid w:val="00A96C0C"/>
    <w:rsid w:val="00AA3784"/>
    <w:rsid w:val="00AB72F4"/>
    <w:rsid w:val="00AC2677"/>
    <w:rsid w:val="00AC321B"/>
    <w:rsid w:val="00AE6537"/>
    <w:rsid w:val="00B123CE"/>
    <w:rsid w:val="00B1247E"/>
    <w:rsid w:val="00B1645B"/>
    <w:rsid w:val="00B24240"/>
    <w:rsid w:val="00B2668C"/>
    <w:rsid w:val="00B35D49"/>
    <w:rsid w:val="00B42080"/>
    <w:rsid w:val="00B42A7D"/>
    <w:rsid w:val="00B443DA"/>
    <w:rsid w:val="00B5115F"/>
    <w:rsid w:val="00B5703F"/>
    <w:rsid w:val="00B62E49"/>
    <w:rsid w:val="00B86BEF"/>
    <w:rsid w:val="00B9603F"/>
    <w:rsid w:val="00BA1228"/>
    <w:rsid w:val="00BC3565"/>
    <w:rsid w:val="00BD4EDE"/>
    <w:rsid w:val="00BF0B17"/>
    <w:rsid w:val="00BF14BF"/>
    <w:rsid w:val="00BF34C4"/>
    <w:rsid w:val="00C00750"/>
    <w:rsid w:val="00C141C6"/>
    <w:rsid w:val="00C305E9"/>
    <w:rsid w:val="00C3225E"/>
    <w:rsid w:val="00C40901"/>
    <w:rsid w:val="00C40CD2"/>
    <w:rsid w:val="00C40E90"/>
    <w:rsid w:val="00C67BDF"/>
    <w:rsid w:val="00C75321"/>
    <w:rsid w:val="00C7785C"/>
    <w:rsid w:val="00C84BFE"/>
    <w:rsid w:val="00CA64CA"/>
    <w:rsid w:val="00CB07AF"/>
    <w:rsid w:val="00CB6662"/>
    <w:rsid w:val="00CD239C"/>
    <w:rsid w:val="00CE4BC9"/>
    <w:rsid w:val="00CF5E90"/>
    <w:rsid w:val="00D16861"/>
    <w:rsid w:val="00D2149F"/>
    <w:rsid w:val="00D27E33"/>
    <w:rsid w:val="00D33D25"/>
    <w:rsid w:val="00D350B9"/>
    <w:rsid w:val="00D45856"/>
    <w:rsid w:val="00D47286"/>
    <w:rsid w:val="00D56612"/>
    <w:rsid w:val="00D659B8"/>
    <w:rsid w:val="00D70D40"/>
    <w:rsid w:val="00D7558C"/>
    <w:rsid w:val="00D82886"/>
    <w:rsid w:val="00D86915"/>
    <w:rsid w:val="00D90AE9"/>
    <w:rsid w:val="00D92391"/>
    <w:rsid w:val="00D96404"/>
    <w:rsid w:val="00DA164D"/>
    <w:rsid w:val="00DA29DC"/>
    <w:rsid w:val="00DB7B08"/>
    <w:rsid w:val="00DC6F65"/>
    <w:rsid w:val="00DD53DD"/>
    <w:rsid w:val="00DE0118"/>
    <w:rsid w:val="00DE0C8A"/>
    <w:rsid w:val="00DF27B5"/>
    <w:rsid w:val="00DF73A7"/>
    <w:rsid w:val="00E01BC9"/>
    <w:rsid w:val="00E11F65"/>
    <w:rsid w:val="00E17A44"/>
    <w:rsid w:val="00E24CA8"/>
    <w:rsid w:val="00E2687E"/>
    <w:rsid w:val="00E312B8"/>
    <w:rsid w:val="00E57350"/>
    <w:rsid w:val="00E633FE"/>
    <w:rsid w:val="00E912BA"/>
    <w:rsid w:val="00EA4E8F"/>
    <w:rsid w:val="00EA7F35"/>
    <w:rsid w:val="00EB2131"/>
    <w:rsid w:val="00EB21E4"/>
    <w:rsid w:val="00EC31D8"/>
    <w:rsid w:val="00ED228E"/>
    <w:rsid w:val="00EE2C54"/>
    <w:rsid w:val="00EE4433"/>
    <w:rsid w:val="00EF49A4"/>
    <w:rsid w:val="00F03F80"/>
    <w:rsid w:val="00F17129"/>
    <w:rsid w:val="00F17E8E"/>
    <w:rsid w:val="00F32838"/>
    <w:rsid w:val="00F33962"/>
    <w:rsid w:val="00F3777B"/>
    <w:rsid w:val="00F45018"/>
    <w:rsid w:val="00F53768"/>
    <w:rsid w:val="00F60AAA"/>
    <w:rsid w:val="00F74E4A"/>
    <w:rsid w:val="00FA6419"/>
    <w:rsid w:val="00FA770A"/>
    <w:rsid w:val="00FB3950"/>
    <w:rsid w:val="00FD171C"/>
    <w:rsid w:val="00FD499C"/>
    <w:rsid w:val="00FE18F2"/>
    <w:rsid w:val="00FF3222"/>
    <w:rsid w:val="00FF33B7"/>
    <w:rsid w:val="118112EC"/>
    <w:rsid w:val="18119608"/>
    <w:rsid w:val="20BE5149"/>
    <w:rsid w:val="39138625"/>
    <w:rsid w:val="74D7E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D356BA"/>
  <w15:chartTrackingRefBased/>
  <w15:docId w15:val="{E67EAF42-21A7-49C4-9E04-4D7DCE9BC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asic text"/>
    <w:qFormat/>
    <w:rsid w:val="008635FB"/>
    <w:pPr>
      <w:spacing w:after="0" w:line="240" w:lineRule="auto"/>
    </w:pPr>
    <w:rPr>
      <w:rFonts w:ascii="Times New Roman" w:hAnsi="Times New Roman" w:cs="Times New Roman"/>
      <w:kern w:val="0"/>
      <w:szCs w:val="2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62E49"/>
    <w:pPr>
      <w:keepNext/>
      <w:keepLines/>
      <w:suppressAutoHyphens/>
      <w:overflowPunct w:val="0"/>
      <w:autoSpaceDE w:val="0"/>
      <w:autoSpaceDN w:val="0"/>
      <w:adjustRightInd w:val="0"/>
      <w:spacing w:before="240" w:after="120" w:line="276" w:lineRule="auto"/>
      <w:textAlignment w:val="baseline"/>
      <w:outlineLvl w:val="0"/>
    </w:pPr>
    <w:rPr>
      <w:rFonts w:asciiTheme="majorHAnsi" w:eastAsiaTheme="majorEastAsia" w:hAnsiTheme="majorHAnsi" w:cstheme="majorBidi"/>
      <w:b/>
      <w:color w:val="000000" w:themeColor="text1"/>
      <w:szCs w:val="40"/>
      <w:lang w:val="et-EE" w:eastAsia="et-E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62E49"/>
    <w:pPr>
      <w:keepNext/>
      <w:keepLines/>
      <w:suppressAutoHyphens/>
      <w:overflowPunct w:val="0"/>
      <w:autoSpaceDE w:val="0"/>
      <w:autoSpaceDN w:val="0"/>
      <w:adjustRightInd w:val="0"/>
      <w:spacing w:before="160" w:after="120" w:line="276" w:lineRule="auto"/>
      <w:jc w:val="both"/>
      <w:textAlignment w:val="baseline"/>
      <w:outlineLvl w:val="1"/>
    </w:pPr>
    <w:rPr>
      <w:rFonts w:asciiTheme="majorHAnsi" w:eastAsiaTheme="majorEastAsia" w:hAnsiTheme="majorHAnsi" w:cstheme="majorBidi"/>
      <w:b/>
      <w:color w:val="000000" w:themeColor="text1"/>
      <w:sz w:val="20"/>
      <w:szCs w:val="32"/>
      <w:lang w:val="et-EE" w:eastAsia="et-EE"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B62E49"/>
    <w:pPr>
      <w:keepNext/>
      <w:keepLines/>
      <w:suppressAutoHyphens/>
      <w:overflowPunct w:val="0"/>
      <w:autoSpaceDE w:val="0"/>
      <w:autoSpaceDN w:val="0"/>
      <w:adjustRightInd w:val="0"/>
      <w:spacing w:before="160" w:after="120" w:line="276" w:lineRule="auto"/>
      <w:jc w:val="both"/>
      <w:textAlignment w:val="baseline"/>
      <w:outlineLvl w:val="2"/>
    </w:pPr>
    <w:rPr>
      <w:rFonts w:asciiTheme="minorHAnsi" w:eastAsiaTheme="majorEastAsia" w:hAnsiTheme="minorHAnsi" w:cstheme="majorBidi"/>
      <w:color w:val="000000" w:themeColor="text1"/>
      <w:sz w:val="20"/>
      <w:szCs w:val="28"/>
      <w:lang w:val="et-EE" w:eastAsia="et-E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460D20"/>
    <w:pPr>
      <w:keepNext/>
      <w:keepLines/>
      <w:suppressAutoHyphens/>
      <w:overflowPunct w:val="0"/>
      <w:autoSpaceDE w:val="0"/>
      <w:autoSpaceDN w:val="0"/>
      <w:adjustRightInd w:val="0"/>
      <w:spacing w:before="80" w:after="40" w:line="276" w:lineRule="auto"/>
      <w:jc w:val="both"/>
      <w:textAlignment w:val="baseline"/>
      <w:outlineLvl w:val="3"/>
    </w:pPr>
    <w:rPr>
      <w:rFonts w:asciiTheme="minorHAnsi" w:eastAsiaTheme="majorEastAsia" w:hAnsiTheme="minorHAnsi" w:cstheme="majorBidi"/>
      <w:i/>
      <w:iCs/>
      <w:color w:val="000000" w:themeColor="text1"/>
      <w:sz w:val="20"/>
      <w:lang w:val="et-EE" w:eastAsia="et-E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4433"/>
    <w:pPr>
      <w:keepNext/>
      <w:keepLines/>
      <w:suppressAutoHyphens/>
      <w:overflowPunct w:val="0"/>
      <w:autoSpaceDE w:val="0"/>
      <w:autoSpaceDN w:val="0"/>
      <w:adjustRightInd w:val="0"/>
      <w:spacing w:before="80" w:after="40" w:line="276" w:lineRule="auto"/>
      <w:jc w:val="both"/>
      <w:textAlignment w:val="baseline"/>
      <w:outlineLvl w:val="4"/>
    </w:pPr>
    <w:rPr>
      <w:rFonts w:asciiTheme="minorHAnsi" w:eastAsiaTheme="majorEastAsia" w:hAnsiTheme="minorHAnsi" w:cstheme="majorBidi"/>
      <w:color w:val="59FC59" w:themeColor="accent1" w:themeShade="BF"/>
      <w:sz w:val="20"/>
      <w:lang w:val="et-EE" w:eastAsia="et-E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4433"/>
    <w:pPr>
      <w:keepNext/>
      <w:keepLines/>
      <w:suppressAutoHyphens/>
      <w:overflowPunct w:val="0"/>
      <w:autoSpaceDE w:val="0"/>
      <w:autoSpaceDN w:val="0"/>
      <w:adjustRightInd w:val="0"/>
      <w:spacing w:before="40" w:after="120" w:line="276" w:lineRule="auto"/>
      <w:jc w:val="both"/>
      <w:textAlignment w:val="baseline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0"/>
      <w:lang w:val="et-EE" w:eastAsia="et-E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4433"/>
    <w:pPr>
      <w:keepNext/>
      <w:keepLines/>
      <w:suppressAutoHyphens/>
      <w:overflowPunct w:val="0"/>
      <w:autoSpaceDE w:val="0"/>
      <w:autoSpaceDN w:val="0"/>
      <w:adjustRightInd w:val="0"/>
      <w:spacing w:before="40" w:after="120" w:line="276" w:lineRule="auto"/>
      <w:jc w:val="both"/>
      <w:textAlignment w:val="baseline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  <w:lang w:val="et-EE" w:eastAsia="et-E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4433"/>
    <w:pPr>
      <w:keepNext/>
      <w:keepLines/>
      <w:suppressAutoHyphens/>
      <w:overflowPunct w:val="0"/>
      <w:autoSpaceDE w:val="0"/>
      <w:autoSpaceDN w:val="0"/>
      <w:adjustRightInd w:val="0"/>
      <w:spacing w:after="120" w:line="276" w:lineRule="auto"/>
      <w:jc w:val="both"/>
      <w:textAlignment w:val="baseline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0"/>
      <w:lang w:val="et-EE" w:eastAsia="et-E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4433"/>
    <w:pPr>
      <w:keepNext/>
      <w:keepLines/>
      <w:suppressAutoHyphens/>
      <w:overflowPunct w:val="0"/>
      <w:autoSpaceDE w:val="0"/>
      <w:autoSpaceDN w:val="0"/>
      <w:adjustRightInd w:val="0"/>
      <w:spacing w:after="120" w:line="276" w:lineRule="auto"/>
      <w:jc w:val="both"/>
      <w:textAlignment w:val="baseline"/>
      <w:outlineLvl w:val="8"/>
    </w:pPr>
    <w:rPr>
      <w:rFonts w:asciiTheme="minorHAnsi" w:eastAsiaTheme="majorEastAsia" w:hAnsiTheme="minorHAnsi" w:cstheme="majorBidi"/>
      <w:color w:val="272727" w:themeColor="text1" w:themeTint="D8"/>
      <w:sz w:val="20"/>
      <w:lang w:val="et-EE" w:eastAsia="et-E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2E49"/>
    <w:rPr>
      <w:rFonts w:asciiTheme="majorHAnsi" w:eastAsiaTheme="majorEastAsia" w:hAnsiTheme="majorHAnsi" w:cstheme="majorBidi"/>
      <w:b/>
      <w:color w:val="000000" w:themeColor="text1"/>
      <w:kern w:val="0"/>
      <w:szCs w:val="40"/>
      <w:lang w:val="et-EE" w:eastAsia="et-EE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B62E49"/>
    <w:rPr>
      <w:rFonts w:asciiTheme="majorHAnsi" w:eastAsiaTheme="majorEastAsia" w:hAnsiTheme="majorHAnsi" w:cstheme="majorBidi"/>
      <w:b/>
      <w:color w:val="000000" w:themeColor="text1"/>
      <w:kern w:val="0"/>
      <w:sz w:val="20"/>
      <w:szCs w:val="32"/>
      <w:lang w:val="et-EE" w:eastAsia="et-EE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B62E49"/>
    <w:rPr>
      <w:rFonts w:eastAsiaTheme="majorEastAsia" w:cstheme="majorBidi"/>
      <w:color w:val="000000" w:themeColor="text1"/>
      <w:kern w:val="0"/>
      <w:sz w:val="20"/>
      <w:szCs w:val="28"/>
      <w:lang w:val="et-EE" w:eastAsia="et-EE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0D20"/>
    <w:rPr>
      <w:rFonts w:eastAsiaTheme="majorEastAsia" w:cstheme="majorBidi"/>
      <w:i/>
      <w:iCs/>
      <w:color w:val="000000" w:themeColor="text1"/>
      <w:kern w:val="0"/>
      <w:sz w:val="20"/>
      <w:szCs w:val="20"/>
      <w:lang w:val="et-EE" w:eastAsia="et-EE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4433"/>
    <w:rPr>
      <w:rFonts w:eastAsiaTheme="majorEastAsia" w:cstheme="majorBidi"/>
      <w:color w:val="59FC59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443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443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443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4433"/>
    <w:rPr>
      <w:rFonts w:eastAsiaTheme="majorEastAsia" w:cstheme="majorBidi"/>
      <w:color w:val="272727" w:themeColor="text1" w:themeTint="D8"/>
    </w:rPr>
  </w:style>
  <w:style w:type="paragraph" w:styleId="Title">
    <w:name w:val="Title"/>
    <w:aliases w:val="Large Title"/>
    <w:basedOn w:val="Normal"/>
    <w:next w:val="Normal"/>
    <w:link w:val="TitleChar"/>
    <w:uiPriority w:val="10"/>
    <w:qFormat/>
    <w:rsid w:val="00EB21E4"/>
    <w:pPr>
      <w:suppressAutoHyphens/>
      <w:overflowPunct w:val="0"/>
      <w:autoSpaceDE w:val="0"/>
      <w:autoSpaceDN w:val="0"/>
      <w:adjustRightInd w:val="0"/>
      <w:spacing w:after="80" w:line="276" w:lineRule="auto"/>
      <w:contextualSpacing/>
      <w:jc w:val="both"/>
      <w:textAlignment w:val="baseline"/>
    </w:pPr>
    <w:rPr>
      <w:rFonts w:asciiTheme="majorHAnsi" w:eastAsiaTheme="majorEastAsia" w:hAnsiTheme="majorHAnsi" w:cstheme="majorBidi"/>
      <w:spacing w:val="-10"/>
      <w:kern w:val="28"/>
      <w:sz w:val="96"/>
      <w:szCs w:val="56"/>
      <w:lang w:val="et-EE" w:eastAsia="et-EE"/>
    </w:rPr>
  </w:style>
  <w:style w:type="character" w:customStyle="1" w:styleId="TitleChar">
    <w:name w:val="Title Char"/>
    <w:aliases w:val="Large Title Char"/>
    <w:basedOn w:val="DefaultParagraphFont"/>
    <w:link w:val="Title"/>
    <w:uiPriority w:val="10"/>
    <w:rsid w:val="00EB21E4"/>
    <w:rPr>
      <w:rFonts w:asciiTheme="majorHAnsi" w:eastAsiaTheme="majorEastAsia" w:hAnsiTheme="majorHAnsi" w:cstheme="majorBidi"/>
      <w:spacing w:val="-10"/>
      <w:kern w:val="28"/>
      <w:sz w:val="96"/>
      <w:szCs w:val="56"/>
      <w:lang w:val="et-EE" w:eastAsia="et-EE"/>
      <w14:ligatures w14:val="none"/>
    </w:rPr>
  </w:style>
  <w:style w:type="character" w:styleId="PageNumber">
    <w:name w:val="page number"/>
    <w:basedOn w:val="DefaultParagraphFont"/>
    <w:uiPriority w:val="99"/>
    <w:semiHidden/>
    <w:unhideWhenUsed/>
    <w:rsid w:val="00724127"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qFormat/>
    <w:rsid w:val="00460D20"/>
    <w:rPr>
      <w:rFonts w:asciiTheme="minorHAnsi" w:hAnsiTheme="minorHAnsi"/>
      <w:color w:val="37B0D5" w:themeColor="text2"/>
      <w:sz w:val="20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5700C"/>
    <w:rPr>
      <w:color w:val="3F41FE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84B3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A3A4F"/>
    <w:pPr>
      <w:spacing w:after="0" w:line="240" w:lineRule="auto"/>
    </w:pPr>
    <w:rPr>
      <w:rFonts w:ascii="Verdana" w:hAnsi="Verdana" w:cs="Times New Roman"/>
      <w:kern w:val="0"/>
      <w:sz w:val="20"/>
      <w:szCs w:val="20"/>
      <w:lang w:val="et-EE" w:eastAsia="et-EE"/>
      <w14:ligatures w14:val="none"/>
    </w:rPr>
  </w:style>
  <w:style w:type="paragraph" w:customStyle="1" w:styleId="Headerandfooter">
    <w:name w:val="Header and footer"/>
    <w:basedOn w:val="Normal"/>
    <w:rsid w:val="003A2CFF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asciiTheme="minorHAnsi" w:hAnsiTheme="minorHAnsi" w:cstheme="minorHAnsi"/>
      <w:color w:val="000000" w:themeColor="text1"/>
      <w:sz w:val="16"/>
      <w:szCs w:val="18"/>
      <w:lang w:val="et-EE" w:eastAsia="et-EE"/>
    </w:rPr>
  </w:style>
  <w:style w:type="paragraph" w:styleId="Footer">
    <w:name w:val="footer"/>
    <w:basedOn w:val="Normal"/>
    <w:link w:val="FooterChar"/>
    <w:uiPriority w:val="99"/>
    <w:unhideWhenUsed/>
    <w:rsid w:val="00A90B68"/>
    <w:pPr>
      <w:tabs>
        <w:tab w:val="center" w:pos="4513"/>
        <w:tab w:val="right" w:pos="9026"/>
      </w:tabs>
      <w:suppressAutoHyphens/>
      <w:overflowPunct w:val="0"/>
      <w:autoSpaceDE w:val="0"/>
      <w:autoSpaceDN w:val="0"/>
      <w:adjustRightInd w:val="0"/>
      <w:jc w:val="both"/>
      <w:textAlignment w:val="baseline"/>
    </w:pPr>
    <w:rPr>
      <w:rFonts w:asciiTheme="minorHAnsi" w:hAnsiTheme="minorHAnsi"/>
      <w:sz w:val="20"/>
      <w:lang w:val="et-EE" w:eastAsia="et-EE"/>
    </w:rPr>
  </w:style>
  <w:style w:type="character" w:customStyle="1" w:styleId="FooterChar">
    <w:name w:val="Footer Char"/>
    <w:basedOn w:val="DefaultParagraphFont"/>
    <w:link w:val="Footer"/>
    <w:uiPriority w:val="99"/>
    <w:rsid w:val="00A90B68"/>
    <w:rPr>
      <w:rFonts w:eastAsia="Times New Roman" w:cs="Times New Roman"/>
      <w:kern w:val="0"/>
      <w:sz w:val="20"/>
      <w:szCs w:val="20"/>
      <w:lang w:val="et-EE" w:eastAsia="et-EE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A90B68"/>
    <w:pPr>
      <w:tabs>
        <w:tab w:val="center" w:pos="4513"/>
        <w:tab w:val="right" w:pos="9026"/>
      </w:tabs>
      <w:suppressAutoHyphens/>
      <w:overflowPunct w:val="0"/>
      <w:autoSpaceDE w:val="0"/>
      <w:autoSpaceDN w:val="0"/>
      <w:adjustRightInd w:val="0"/>
      <w:jc w:val="both"/>
      <w:textAlignment w:val="baseline"/>
    </w:pPr>
    <w:rPr>
      <w:rFonts w:asciiTheme="minorHAnsi" w:hAnsiTheme="minorHAnsi"/>
      <w:sz w:val="20"/>
      <w:lang w:val="et-EE" w:eastAsia="et-EE"/>
    </w:rPr>
  </w:style>
  <w:style w:type="character" w:customStyle="1" w:styleId="HeaderChar">
    <w:name w:val="Header Char"/>
    <w:basedOn w:val="DefaultParagraphFont"/>
    <w:link w:val="Header"/>
    <w:uiPriority w:val="99"/>
    <w:rsid w:val="00A90B68"/>
    <w:rPr>
      <w:rFonts w:eastAsia="Times New Roman" w:cs="Times New Roman"/>
      <w:kern w:val="0"/>
      <w:sz w:val="20"/>
      <w:szCs w:val="20"/>
      <w:lang w:val="et-EE" w:eastAsia="et-EE"/>
      <w14:ligatures w14:val="none"/>
    </w:rPr>
  </w:style>
  <w:style w:type="paragraph" w:styleId="NoSpacing">
    <w:name w:val="No Spacing"/>
    <w:link w:val="NoSpacingChar"/>
    <w:uiPriority w:val="1"/>
    <w:rsid w:val="00837A89"/>
    <w:pPr>
      <w:spacing w:after="0" w:line="240" w:lineRule="auto"/>
    </w:pPr>
    <w:rPr>
      <w:rFonts w:eastAsiaTheme="minorEastAsia"/>
      <w:kern w:val="0"/>
      <w:sz w:val="22"/>
      <w:szCs w:val="22"/>
      <w:lang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837A89"/>
    <w:rPr>
      <w:rFonts w:eastAsiaTheme="minorEastAsia"/>
      <w:kern w:val="0"/>
      <w:sz w:val="22"/>
      <w:szCs w:val="22"/>
      <w:lang w:eastAsia="zh-CN"/>
      <w14:ligatures w14:val="none"/>
    </w:rPr>
  </w:style>
  <w:style w:type="paragraph" w:customStyle="1" w:styleId="Wtext1stlevel">
    <w:name w:val="W text 1st level"/>
    <w:basedOn w:val="Normal"/>
    <w:next w:val="Wtext2level"/>
    <w:link w:val="Wtext1stlevelChar"/>
    <w:qFormat/>
    <w:rsid w:val="00980E69"/>
    <w:pPr>
      <w:numPr>
        <w:numId w:val="3"/>
      </w:numPr>
      <w:autoSpaceDN w:val="0"/>
      <w:spacing w:after="120" w:line="276" w:lineRule="auto"/>
      <w:jc w:val="both"/>
    </w:pPr>
    <w:rPr>
      <w:rFonts w:ascii="Arial" w:hAnsi="Arial"/>
      <w:b/>
      <w:bCs/>
      <w:sz w:val="20"/>
      <w:lang w:val="en-GB" w:eastAsia="et-EE"/>
    </w:rPr>
  </w:style>
  <w:style w:type="paragraph" w:customStyle="1" w:styleId="Wtext2level">
    <w:name w:val="W text 2 level"/>
    <w:basedOn w:val="Wtext1stlevel"/>
    <w:link w:val="Wtext2levelChar"/>
    <w:qFormat/>
    <w:rsid w:val="00980E69"/>
    <w:pPr>
      <w:numPr>
        <w:ilvl w:val="1"/>
      </w:numPr>
    </w:pPr>
    <w:rPr>
      <w:b w:val="0"/>
    </w:rPr>
  </w:style>
  <w:style w:type="character" w:customStyle="1" w:styleId="Wtext1stlevelChar">
    <w:name w:val="W text 1st level Char"/>
    <w:basedOn w:val="DefaultParagraphFont"/>
    <w:link w:val="Wtext1stlevel"/>
    <w:rsid w:val="00980E69"/>
    <w:rPr>
      <w:rFonts w:ascii="Arial" w:hAnsi="Arial" w:cs="Times New Roman"/>
      <w:b/>
      <w:bCs/>
      <w:kern w:val="0"/>
      <w:sz w:val="20"/>
      <w:szCs w:val="20"/>
      <w:lang w:val="en-GB" w:eastAsia="et-EE"/>
      <w14:ligatures w14:val="none"/>
    </w:rPr>
  </w:style>
  <w:style w:type="character" w:customStyle="1" w:styleId="Wtext2levelChar">
    <w:name w:val="W text 2 level Char"/>
    <w:basedOn w:val="Wtext1stlevelChar"/>
    <w:link w:val="Wtext2level"/>
    <w:rsid w:val="00980E69"/>
    <w:rPr>
      <w:rFonts w:ascii="Arial" w:hAnsi="Arial" w:cs="Times New Roman"/>
      <w:b w:val="0"/>
      <w:bCs/>
      <w:kern w:val="0"/>
      <w:sz w:val="20"/>
      <w:szCs w:val="20"/>
      <w:lang w:val="en-GB" w:eastAsia="et-EE"/>
      <w14:ligatures w14:val="none"/>
    </w:rPr>
  </w:style>
  <w:style w:type="paragraph" w:customStyle="1" w:styleId="Wtext3rdlevel">
    <w:name w:val="W text 3rd level"/>
    <w:basedOn w:val="Wtext2level"/>
    <w:link w:val="Wtext3rdlevelChar"/>
    <w:qFormat/>
    <w:rsid w:val="001E7A6F"/>
    <w:pPr>
      <w:numPr>
        <w:ilvl w:val="2"/>
      </w:numPr>
    </w:pPr>
  </w:style>
  <w:style w:type="paragraph" w:customStyle="1" w:styleId="Titlesmall">
    <w:name w:val="Title small"/>
    <w:basedOn w:val="Title"/>
    <w:next w:val="Wtext1stlevel"/>
    <w:link w:val="TitlesmallChar"/>
    <w:qFormat/>
    <w:rsid w:val="0033438D"/>
    <w:pPr>
      <w:jc w:val="left"/>
    </w:pPr>
    <w:rPr>
      <w:sz w:val="36"/>
    </w:rPr>
  </w:style>
  <w:style w:type="character" w:customStyle="1" w:styleId="Wtext3rdlevelChar">
    <w:name w:val="W text 3rd level Char"/>
    <w:basedOn w:val="Wtext2levelChar"/>
    <w:link w:val="Wtext3rdlevel"/>
    <w:rsid w:val="001E7A6F"/>
    <w:rPr>
      <w:rFonts w:ascii="Arial" w:hAnsi="Arial" w:cs="Times New Roman"/>
      <w:b w:val="0"/>
      <w:bCs/>
      <w:kern w:val="0"/>
      <w:sz w:val="20"/>
      <w:szCs w:val="20"/>
      <w:lang w:val="en-GB" w:eastAsia="et-EE"/>
      <w14:ligatures w14:val="none"/>
    </w:rPr>
  </w:style>
  <w:style w:type="paragraph" w:customStyle="1" w:styleId="Nonumbering">
    <w:name w:val="No numbering"/>
    <w:basedOn w:val="Wtext2level"/>
    <w:link w:val="NonumberingChar"/>
    <w:qFormat/>
    <w:rsid w:val="00980E69"/>
    <w:pPr>
      <w:numPr>
        <w:ilvl w:val="0"/>
        <w:numId w:val="0"/>
      </w:numPr>
    </w:pPr>
  </w:style>
  <w:style w:type="character" w:customStyle="1" w:styleId="TitlesmallChar">
    <w:name w:val="Title small Char"/>
    <w:basedOn w:val="TitleChar"/>
    <w:link w:val="Titlesmall"/>
    <w:rsid w:val="0033438D"/>
    <w:rPr>
      <w:rFonts w:asciiTheme="majorHAnsi" w:eastAsiaTheme="majorEastAsia" w:hAnsiTheme="majorHAnsi" w:cstheme="majorBidi"/>
      <w:spacing w:val="-10"/>
      <w:kern w:val="28"/>
      <w:sz w:val="36"/>
      <w:szCs w:val="56"/>
      <w:lang w:val="et-EE" w:eastAsia="et-EE"/>
      <w14:ligatures w14:val="none"/>
    </w:rPr>
  </w:style>
  <w:style w:type="character" w:customStyle="1" w:styleId="NonumberingChar">
    <w:name w:val="No numbering Char"/>
    <w:basedOn w:val="Wtext2levelChar"/>
    <w:link w:val="Nonumbering"/>
    <w:rsid w:val="00980E69"/>
    <w:rPr>
      <w:rFonts w:ascii="Arial" w:hAnsi="Arial" w:cs="Times New Roman"/>
      <w:b w:val="0"/>
      <w:bCs/>
      <w:kern w:val="0"/>
      <w:sz w:val="20"/>
      <w:szCs w:val="20"/>
      <w:lang w:val="en-GB" w:eastAsia="et-EE"/>
      <w14:ligatures w14:val="none"/>
    </w:rPr>
  </w:style>
  <w:style w:type="paragraph" w:customStyle="1" w:styleId="WtextLT1stlevel">
    <w:name w:val="W text (LT) 1st level"/>
    <w:basedOn w:val="Nonumbering"/>
    <w:link w:val="WtextLT1stlevelChar"/>
    <w:qFormat/>
    <w:rsid w:val="00980E69"/>
    <w:pPr>
      <w:numPr>
        <w:numId w:val="6"/>
      </w:numPr>
    </w:pPr>
    <w:rPr>
      <w:b/>
      <w:bCs w:val="0"/>
    </w:rPr>
  </w:style>
  <w:style w:type="character" w:customStyle="1" w:styleId="WtextLT1stlevelChar">
    <w:name w:val="W text (LT) 1st level Char"/>
    <w:basedOn w:val="DefaultParagraphFont"/>
    <w:link w:val="WtextLT1stlevel"/>
    <w:rsid w:val="00980E69"/>
    <w:rPr>
      <w:rFonts w:ascii="Arial" w:hAnsi="Arial" w:cs="Times New Roman"/>
      <w:b/>
      <w:kern w:val="0"/>
      <w:sz w:val="20"/>
      <w:szCs w:val="20"/>
      <w:lang w:val="en-GB" w:eastAsia="et-EE"/>
      <w14:ligatures w14:val="none"/>
    </w:rPr>
  </w:style>
  <w:style w:type="paragraph" w:customStyle="1" w:styleId="WtextLT2ndlevel">
    <w:name w:val="W text (LT) 2nd level"/>
    <w:basedOn w:val="Nonumbering"/>
    <w:link w:val="WtextLT2ndlevelChar"/>
    <w:qFormat/>
    <w:rsid w:val="00980E69"/>
    <w:pPr>
      <w:numPr>
        <w:ilvl w:val="1"/>
        <w:numId w:val="6"/>
      </w:numPr>
    </w:pPr>
  </w:style>
  <w:style w:type="character" w:customStyle="1" w:styleId="WtextLT2ndlevelChar">
    <w:name w:val="W text (LT) 2nd level Char"/>
    <w:basedOn w:val="Wtext3rdlevelChar"/>
    <w:link w:val="WtextLT2ndlevel"/>
    <w:rsid w:val="00980E69"/>
    <w:rPr>
      <w:rFonts w:ascii="Arial" w:hAnsi="Arial" w:cs="Times New Roman"/>
      <w:b w:val="0"/>
      <w:bCs/>
      <w:kern w:val="0"/>
      <w:sz w:val="20"/>
      <w:szCs w:val="20"/>
      <w:lang w:val="en-GB" w:eastAsia="et-EE"/>
      <w14:ligatures w14:val="none"/>
    </w:rPr>
  </w:style>
  <w:style w:type="paragraph" w:customStyle="1" w:styleId="WtextLT3rdlevel">
    <w:name w:val="W text (LT) 3rd level"/>
    <w:basedOn w:val="Nonumbering"/>
    <w:link w:val="WtextLT3rdlevelChar"/>
    <w:qFormat/>
    <w:rsid w:val="00980E69"/>
    <w:pPr>
      <w:numPr>
        <w:ilvl w:val="2"/>
        <w:numId w:val="6"/>
      </w:numPr>
    </w:pPr>
  </w:style>
  <w:style w:type="character" w:customStyle="1" w:styleId="WtextLT3rdlevelChar">
    <w:name w:val="W text (LT) 3rd level Char"/>
    <w:basedOn w:val="WtextLT2ndlevelChar"/>
    <w:link w:val="WtextLT3rdlevel"/>
    <w:rsid w:val="00980E69"/>
    <w:rPr>
      <w:rFonts w:ascii="Arial" w:hAnsi="Arial" w:cs="Times New Roman"/>
      <w:b w:val="0"/>
      <w:bCs/>
      <w:kern w:val="0"/>
      <w:sz w:val="20"/>
      <w:szCs w:val="20"/>
      <w:lang w:val="en-GB" w:eastAsia="et-EE"/>
      <w14:ligatures w14:val="none"/>
    </w:rPr>
  </w:style>
  <w:style w:type="paragraph" w:styleId="ListParagraph">
    <w:name w:val="List Paragraph"/>
    <w:basedOn w:val="Normal"/>
    <w:uiPriority w:val="34"/>
    <w:qFormat/>
    <w:rsid w:val="00AC2677"/>
    <w:pPr>
      <w:suppressAutoHyphens/>
      <w:overflowPunct w:val="0"/>
      <w:autoSpaceDE w:val="0"/>
      <w:autoSpaceDN w:val="0"/>
      <w:adjustRightInd w:val="0"/>
      <w:spacing w:after="120" w:line="276" w:lineRule="auto"/>
      <w:ind w:left="720"/>
      <w:contextualSpacing/>
      <w:jc w:val="both"/>
      <w:textAlignment w:val="baseline"/>
    </w:pPr>
    <w:rPr>
      <w:rFonts w:asciiTheme="minorHAnsi" w:hAnsiTheme="minorHAnsi"/>
      <w:sz w:val="20"/>
      <w:lang w:val="et-EE" w:eastAsia="et-EE"/>
    </w:rPr>
  </w:style>
  <w:style w:type="paragraph" w:customStyle="1" w:styleId="WtextLT4thlevel">
    <w:name w:val="W text (LT) 4th level"/>
    <w:basedOn w:val="WtextLT3rdlevel"/>
    <w:link w:val="WtextLT4thlevelChar"/>
    <w:qFormat/>
    <w:rsid w:val="00980E69"/>
    <w:pPr>
      <w:numPr>
        <w:ilvl w:val="3"/>
      </w:numPr>
    </w:pPr>
  </w:style>
  <w:style w:type="character" w:customStyle="1" w:styleId="WtextLT4thlevelChar">
    <w:name w:val="W text (LT) 4th level Char"/>
    <w:basedOn w:val="WtextLT3rdlevelChar"/>
    <w:link w:val="WtextLT4thlevel"/>
    <w:rsid w:val="00980E69"/>
    <w:rPr>
      <w:rFonts w:ascii="Arial" w:hAnsi="Arial" w:cs="Times New Roman"/>
      <w:b w:val="0"/>
      <w:bCs/>
      <w:kern w:val="0"/>
      <w:sz w:val="20"/>
      <w:szCs w:val="20"/>
      <w:lang w:val="en-GB" w:eastAsia="et-EE"/>
      <w14:ligatures w14:val="none"/>
    </w:rPr>
  </w:style>
  <w:style w:type="paragraph" w:customStyle="1" w:styleId="Wtext4thlevel">
    <w:name w:val="W text 4th level"/>
    <w:basedOn w:val="Wtext3rdlevel"/>
    <w:link w:val="Wtext4thlevelChar"/>
    <w:qFormat/>
    <w:rsid w:val="00566CAD"/>
    <w:pPr>
      <w:numPr>
        <w:ilvl w:val="3"/>
      </w:numPr>
    </w:pPr>
  </w:style>
  <w:style w:type="character" w:customStyle="1" w:styleId="Wtext4thlevelChar">
    <w:name w:val="W text 4th level Char"/>
    <w:basedOn w:val="Wtext3rdlevelChar"/>
    <w:link w:val="Wtext4thlevel"/>
    <w:rsid w:val="00566CAD"/>
    <w:rPr>
      <w:rFonts w:ascii="Arial" w:hAnsi="Arial" w:cs="Times New Roman"/>
      <w:b w:val="0"/>
      <w:bCs/>
      <w:kern w:val="0"/>
      <w:sz w:val="20"/>
      <w:szCs w:val="20"/>
      <w:lang w:val="en-GB" w:eastAsia="et-EE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rsid w:val="00B123CE"/>
    <w:pPr>
      <w:numPr>
        <w:ilvl w:val="1"/>
      </w:numPr>
      <w:suppressAutoHyphens/>
      <w:overflowPunct w:val="0"/>
      <w:autoSpaceDE w:val="0"/>
      <w:autoSpaceDN w:val="0"/>
      <w:adjustRightInd w:val="0"/>
      <w:spacing w:after="160" w:line="276" w:lineRule="auto"/>
      <w:jc w:val="both"/>
      <w:textAlignment w:val="baseline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t-EE" w:eastAsia="et-EE"/>
    </w:rPr>
  </w:style>
  <w:style w:type="character" w:customStyle="1" w:styleId="SubtitleChar">
    <w:name w:val="Subtitle Char"/>
    <w:basedOn w:val="DefaultParagraphFont"/>
    <w:link w:val="Subtitle"/>
    <w:uiPriority w:val="11"/>
    <w:rsid w:val="00B123CE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et-EE" w:eastAsia="et-EE"/>
      <w14:ligatures w14:val="none"/>
    </w:rPr>
  </w:style>
  <w:style w:type="paragraph" w:styleId="Quote">
    <w:name w:val="Quote"/>
    <w:basedOn w:val="Normal"/>
    <w:next w:val="Normal"/>
    <w:link w:val="QuoteChar"/>
    <w:uiPriority w:val="29"/>
    <w:rsid w:val="00B123CE"/>
    <w:pPr>
      <w:suppressAutoHyphens/>
      <w:overflowPunct w:val="0"/>
      <w:autoSpaceDE w:val="0"/>
      <w:autoSpaceDN w:val="0"/>
      <w:adjustRightInd w:val="0"/>
      <w:spacing w:before="160" w:after="160" w:line="276" w:lineRule="auto"/>
      <w:jc w:val="center"/>
      <w:textAlignment w:val="baseline"/>
    </w:pPr>
    <w:rPr>
      <w:rFonts w:asciiTheme="minorHAnsi" w:hAnsiTheme="minorHAnsi"/>
      <w:i/>
      <w:iCs/>
      <w:color w:val="404040" w:themeColor="text1" w:themeTint="BF"/>
      <w:sz w:val="20"/>
      <w:lang w:val="et-EE" w:eastAsia="et-EE"/>
    </w:rPr>
  </w:style>
  <w:style w:type="character" w:customStyle="1" w:styleId="QuoteChar">
    <w:name w:val="Quote Char"/>
    <w:basedOn w:val="DefaultParagraphFont"/>
    <w:link w:val="Quote"/>
    <w:uiPriority w:val="29"/>
    <w:rsid w:val="00B123CE"/>
    <w:rPr>
      <w:rFonts w:cs="Times New Roman"/>
      <w:i/>
      <w:iCs/>
      <w:color w:val="404040" w:themeColor="text1" w:themeTint="BF"/>
      <w:kern w:val="0"/>
      <w:sz w:val="20"/>
      <w:szCs w:val="20"/>
      <w:lang w:val="et-EE" w:eastAsia="et-EE"/>
      <w14:ligatures w14:val="none"/>
    </w:rPr>
  </w:style>
  <w:style w:type="character" w:styleId="IntenseEmphasis">
    <w:name w:val="Intense Emphasis"/>
    <w:basedOn w:val="DefaultParagraphFont"/>
    <w:uiPriority w:val="21"/>
    <w:rsid w:val="00B123CE"/>
    <w:rPr>
      <w:i/>
      <w:iCs/>
      <w:color w:val="59FC59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rsid w:val="00B123CE"/>
    <w:pPr>
      <w:pBdr>
        <w:top w:val="single" w:sz="4" w:space="10" w:color="59FC59" w:themeColor="accent1" w:themeShade="BF"/>
        <w:bottom w:val="single" w:sz="4" w:space="10" w:color="59FC59" w:themeColor="accent1" w:themeShade="BF"/>
      </w:pBdr>
      <w:suppressAutoHyphens/>
      <w:overflowPunct w:val="0"/>
      <w:autoSpaceDE w:val="0"/>
      <w:autoSpaceDN w:val="0"/>
      <w:adjustRightInd w:val="0"/>
      <w:spacing w:before="360" w:after="360" w:line="276" w:lineRule="auto"/>
      <w:ind w:left="864" w:right="864"/>
      <w:jc w:val="center"/>
      <w:textAlignment w:val="baseline"/>
    </w:pPr>
    <w:rPr>
      <w:rFonts w:asciiTheme="minorHAnsi" w:hAnsiTheme="minorHAnsi"/>
      <w:i/>
      <w:iCs/>
      <w:color w:val="59FC59" w:themeColor="accent1" w:themeShade="BF"/>
      <w:sz w:val="20"/>
      <w:lang w:val="et-EE" w:eastAsia="et-E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23CE"/>
    <w:rPr>
      <w:rFonts w:cs="Times New Roman"/>
      <w:i/>
      <w:iCs/>
      <w:color w:val="59FC59" w:themeColor="accent1" w:themeShade="BF"/>
      <w:kern w:val="0"/>
      <w:sz w:val="20"/>
      <w:szCs w:val="20"/>
      <w:lang w:val="et-EE" w:eastAsia="et-EE"/>
      <w14:ligatures w14:val="none"/>
    </w:rPr>
  </w:style>
  <w:style w:type="character" w:styleId="IntenseReference">
    <w:name w:val="Intense Reference"/>
    <w:basedOn w:val="DefaultParagraphFont"/>
    <w:uiPriority w:val="32"/>
    <w:rsid w:val="00B123CE"/>
    <w:rPr>
      <w:b/>
      <w:bCs/>
      <w:smallCaps/>
      <w:color w:val="59FC59" w:themeColor="accent1" w:themeShade="BF"/>
      <w:spacing w:val="5"/>
    </w:rPr>
  </w:style>
  <w:style w:type="paragraph" w:customStyle="1" w:styleId="taltipfb">
    <w:name w:val="taltipfb"/>
    <w:basedOn w:val="Normal"/>
    <w:rsid w:val="00EA4E8F"/>
    <w:pPr>
      <w:spacing w:before="100" w:beforeAutospacing="1" w:after="100" w:afterAutospacing="1"/>
    </w:pPr>
    <w:rPr>
      <w:szCs w:val="24"/>
      <w:lang w:eastAsia="lt-LT"/>
    </w:rPr>
  </w:style>
  <w:style w:type="paragraph" w:customStyle="1" w:styleId="tartip">
    <w:name w:val="tartip"/>
    <w:basedOn w:val="Normal"/>
    <w:rsid w:val="00EA4E8F"/>
    <w:pPr>
      <w:spacing w:before="100" w:beforeAutospacing="1" w:after="100" w:afterAutospacing="1"/>
    </w:pPr>
    <w:rPr>
      <w:szCs w:val="24"/>
      <w:lang w:eastAsia="lt-LT"/>
    </w:rPr>
  </w:style>
  <w:style w:type="paragraph" w:customStyle="1" w:styleId="tajtip">
    <w:name w:val="tajtip"/>
    <w:basedOn w:val="Normal"/>
    <w:rsid w:val="00EA4E8F"/>
    <w:pPr>
      <w:spacing w:before="100" w:beforeAutospacing="1" w:after="100" w:afterAutospacing="1"/>
    </w:pPr>
    <w:rPr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Widen">
      <a:dk1>
        <a:srgbClr val="000000"/>
      </a:dk1>
      <a:lt1>
        <a:srgbClr val="FFFFFF"/>
      </a:lt1>
      <a:dk2>
        <a:srgbClr val="37B0D5"/>
      </a:dk2>
      <a:lt2>
        <a:srgbClr val="FFFFFF"/>
      </a:lt2>
      <a:accent1>
        <a:srgbClr val="CAFECA"/>
      </a:accent1>
      <a:accent2>
        <a:srgbClr val="86E0BB"/>
      </a:accent2>
      <a:accent3>
        <a:srgbClr val="FBCDB1"/>
      </a:accent3>
      <a:accent4>
        <a:srgbClr val="37B0D5"/>
      </a:accent4>
      <a:accent5>
        <a:srgbClr val="000000"/>
      </a:accent5>
      <a:accent6>
        <a:srgbClr val="FFFFFF"/>
      </a:accent6>
      <a:hlink>
        <a:srgbClr val="3F41FE"/>
      </a:hlink>
      <a:folHlink>
        <a:srgbClr val="3F41FE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63AA5C89453249ADBF180E01512246" ma:contentTypeVersion="17" ma:contentTypeDescription="Create a new document." ma:contentTypeScope="" ma:versionID="f2b077ec2ca5cbb548a9bf73acb81b6f">
  <xsd:schema xmlns:xsd="http://www.w3.org/2001/XMLSchema" xmlns:xs="http://www.w3.org/2001/XMLSchema" xmlns:p="http://schemas.microsoft.com/office/2006/metadata/properties" xmlns:ns2="d95b5ece-8be9-4acf-83ec-be1246ae25ac" xmlns:ns3="eaf0bafd-eec5-4b7c-b93f-8c68a340c705" targetNamespace="http://schemas.microsoft.com/office/2006/metadata/properties" ma:root="true" ma:fieldsID="e7434d12b7d39f662a4fd989967eb3ef" ns2:_="" ns3:_="">
    <xsd:import namespace="d95b5ece-8be9-4acf-83ec-be1246ae25ac"/>
    <xsd:import namespace="eaf0bafd-eec5-4b7c-b93f-8c68a340c70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5b5ece-8be9-4acf-83ec-be1246ae25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683ca55e-27cc-499a-b195-284aac81fc70}" ma:internalName="TaxCatchAll" ma:showField="CatchAllData" ma:web="d95b5ece-8be9-4acf-83ec-be1246ae25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f0bafd-eec5-4b7c-b93f-8c68a340c7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b7e39d3-6d03-4f72-8cfd-d6d1eb4f1e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95b5ece-8be9-4acf-83ec-be1246ae25ac" xsi:nil="true"/>
    <lcf76f155ced4ddcb4097134ff3c332f xmlns="eaf0bafd-eec5-4b7c-b93f-8c68a340c70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880587-9450-4AE7-9BDC-CBDFB5EE51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5b5ece-8be9-4acf-83ec-be1246ae25ac"/>
    <ds:schemaRef ds:uri="eaf0bafd-eec5-4b7c-b93f-8c68a340c7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B126F3-F26B-4E73-B802-BEA174FEB59C}">
  <ds:schemaRefs>
    <ds:schemaRef ds:uri="http://schemas.microsoft.com/office/2006/metadata/properties"/>
    <ds:schemaRef ds:uri="http://schemas.microsoft.com/office/infopath/2007/PartnerControls"/>
    <ds:schemaRef ds:uri="d95b5ece-8be9-4acf-83ec-be1246ae25ac"/>
    <ds:schemaRef ds:uri="eaf0bafd-eec5-4b7c-b93f-8c68a340c705"/>
  </ds:schemaRefs>
</ds:datastoreItem>
</file>

<file path=customXml/itemProps3.xml><?xml version="1.0" encoding="utf-8"?>
<ds:datastoreItem xmlns:ds="http://schemas.openxmlformats.org/officeDocument/2006/customXml" ds:itemID="{855AC195-D9C0-48F5-BF8F-C8E07AFE80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Šlimė</dc:creator>
  <cp:keywords/>
  <dc:description/>
  <cp:lastModifiedBy>Sigita Šlimė | WIDEN</cp:lastModifiedBy>
  <cp:revision>3</cp:revision>
  <dcterms:created xsi:type="dcterms:W3CDTF">2026-04-21T07:17:00Z</dcterms:created>
  <dcterms:modified xsi:type="dcterms:W3CDTF">2026-04-21T07:17:00Z</dcterms:modified>
</cp:coreProperties>
</file>