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68E01" w14:textId="33C46594" w:rsidR="00F57CEC" w:rsidRPr="003413CA" w:rsidRDefault="003413CA" w:rsidP="003413CA">
      <w:pPr>
        <w:pStyle w:val="pagrindinistekstas"/>
        <w:jc w:val="left"/>
        <w:rPr>
          <w:b/>
          <w:bCs/>
          <w:caps/>
          <w:sz w:val="24"/>
          <w:szCs w:val="24"/>
        </w:rPr>
      </w:pPr>
      <w:r w:rsidRPr="003413CA">
        <w:rPr>
          <w:b/>
          <w:bCs/>
          <w:caps/>
          <w:sz w:val="24"/>
          <w:szCs w:val="24"/>
        </w:rPr>
        <w:t xml:space="preserve">NLŽVA: </w:t>
      </w:r>
      <w:r w:rsidR="0075165F">
        <w:rPr>
          <w:b/>
          <w:bCs/>
          <w:caps/>
          <w:sz w:val="24"/>
          <w:szCs w:val="24"/>
        </w:rPr>
        <w:t>VALSTYBĖS POLITIKA NAIKINA ANTŽEMINIUS LOŠIMUS, PROTEGUOJA IŠ UŽSIENIO DIRBANČIUS NUOTOLINIUS IR LOTERIJAS</w:t>
      </w:r>
    </w:p>
    <w:p w14:paraId="5E1327D2" w14:textId="76E5189C" w:rsidR="0075165F" w:rsidRDefault="00A05354">
      <w:pPr>
        <w:pStyle w:val="pagrindinistekstas"/>
        <w:rPr>
          <w:i/>
          <w:iCs/>
          <w:lang w:val="lt-LT"/>
        </w:rPr>
      </w:pPr>
      <w:r w:rsidRPr="00A05354">
        <w:rPr>
          <w:b/>
          <w:bCs/>
          <w:lang w:val="lt-LT"/>
        </w:rPr>
        <w:t>2026 m. balandžio 27 d.</w:t>
      </w:r>
      <w:r>
        <w:rPr>
          <w:i/>
          <w:iCs/>
          <w:lang w:val="lt-LT"/>
        </w:rPr>
        <w:t xml:space="preserve"> – </w:t>
      </w:r>
      <w:r w:rsidR="00724E7E" w:rsidRPr="00B769DB">
        <w:rPr>
          <w:i/>
          <w:iCs/>
          <w:lang w:val="lt-LT"/>
        </w:rPr>
        <w:t>Galutiniai 202</w:t>
      </w:r>
      <w:r w:rsidR="0075165F">
        <w:rPr>
          <w:i/>
          <w:iCs/>
          <w:lang w:val="lt-LT"/>
        </w:rPr>
        <w:t>5</w:t>
      </w:r>
      <w:r w:rsidR="00724E7E" w:rsidRPr="00B769DB">
        <w:rPr>
          <w:i/>
          <w:iCs/>
          <w:lang w:val="lt-LT"/>
        </w:rPr>
        <w:t xml:space="preserve"> metų Lietuvos lošimo paslaugų (</w:t>
      </w:r>
      <w:r w:rsidR="0075165F">
        <w:rPr>
          <w:i/>
          <w:iCs/>
          <w:lang w:val="lt-LT"/>
        </w:rPr>
        <w:t xml:space="preserve">apima </w:t>
      </w:r>
      <w:r w:rsidR="00724E7E" w:rsidRPr="00B769DB">
        <w:rPr>
          <w:i/>
          <w:iCs/>
          <w:lang w:val="lt-LT"/>
        </w:rPr>
        <w:t>azartini</w:t>
      </w:r>
      <w:r w:rsidR="0075165F">
        <w:rPr>
          <w:i/>
          <w:iCs/>
          <w:lang w:val="lt-LT"/>
        </w:rPr>
        <w:t>us</w:t>
      </w:r>
      <w:r w:rsidR="00724E7E" w:rsidRPr="00B769DB">
        <w:rPr>
          <w:i/>
          <w:iCs/>
          <w:lang w:val="lt-LT"/>
        </w:rPr>
        <w:t xml:space="preserve"> lošim</w:t>
      </w:r>
      <w:r w:rsidR="0075165F">
        <w:rPr>
          <w:i/>
          <w:iCs/>
          <w:lang w:val="lt-LT"/>
        </w:rPr>
        <w:t>us</w:t>
      </w:r>
      <w:r w:rsidR="00724E7E" w:rsidRPr="00B769DB">
        <w:rPr>
          <w:i/>
          <w:iCs/>
          <w:lang w:val="lt-LT"/>
        </w:rPr>
        <w:t xml:space="preserve"> ir loterij</w:t>
      </w:r>
      <w:r w:rsidR="0075165F">
        <w:rPr>
          <w:i/>
          <w:iCs/>
          <w:lang w:val="lt-LT"/>
        </w:rPr>
        <w:t>as</w:t>
      </w:r>
      <w:r w:rsidR="00724E7E" w:rsidRPr="00B769DB">
        <w:rPr>
          <w:i/>
          <w:iCs/>
          <w:lang w:val="lt-LT"/>
        </w:rPr>
        <w:t xml:space="preserve">) rinkos duomenys </w:t>
      </w:r>
      <w:r w:rsidR="0075165F">
        <w:rPr>
          <w:i/>
          <w:iCs/>
          <w:lang w:val="lt-LT"/>
        </w:rPr>
        <w:t>patvirtino Nacionalinės lošimų ir žaidimų verslo asociacijos prognozes, jog toliau nevaldomai augs vartotojų išlaidos nuotolinių lošimų ir loterijų paslaugoms. Nuo 2019 metų, kada visoms lošimų paslaugoms buvo išleista apie 150 mln. eurų, išlaidos toliau didėjo ir 2025 metais viršijo 349 mln. eurų.</w:t>
      </w:r>
    </w:p>
    <w:p w14:paraId="45D53919" w14:textId="67A61E50" w:rsidR="0075165F" w:rsidRDefault="005C52B7">
      <w:pPr>
        <w:pStyle w:val="pagrindinistekstas"/>
        <w:rPr>
          <w:lang w:val="lt-LT"/>
        </w:rPr>
      </w:pPr>
      <w:r>
        <w:rPr>
          <w:lang w:val="lt-LT"/>
        </w:rPr>
        <w:t>„V</w:t>
      </w:r>
      <w:r w:rsidR="0075165F" w:rsidRPr="005C52B7">
        <w:rPr>
          <w:lang w:val="lt-LT"/>
        </w:rPr>
        <w:t xml:space="preserve">alstybės politika nuosekliai naikina kompleksinę vertę valstybei kuriančius antžeminius lošimus, o proteguoja </w:t>
      </w:r>
      <w:r>
        <w:rPr>
          <w:lang w:val="lt-LT"/>
        </w:rPr>
        <w:t>paslaugas iš užsienio teikiančius nuotolinių lošimo paslaugų tiekėjus ir kone visiškai nekontroliuojamai veikiančias loterijas, kurios pastaraisiais metais tapo tiesiogine azartinių lošimų alternatyva</w:t>
      </w:r>
      <w:r w:rsidR="0061066F">
        <w:rPr>
          <w:lang w:val="lt-LT"/>
        </w:rPr>
        <w:t>“, – sakė Nacionalinė lošimų ir žaidimų verslo asociacijos prezidentas Liutauras Ulevičius.</w:t>
      </w:r>
    </w:p>
    <w:p w14:paraId="2D247FD8" w14:textId="77777777" w:rsidR="00BC3192" w:rsidRDefault="00BC3192">
      <w:pPr>
        <w:pStyle w:val="pagrindinistekstas"/>
        <w:rPr>
          <w:lang w:val="lt-LT"/>
        </w:rPr>
      </w:pPr>
    </w:p>
    <w:p w14:paraId="5A1665D2" w14:textId="79595CBD" w:rsidR="004E47D9" w:rsidRPr="003413CA" w:rsidRDefault="005E706E" w:rsidP="000262B4">
      <w:pPr>
        <w:pStyle w:val="pagrindinistekstas"/>
        <w:rPr>
          <w:lang w:val="lt-LT"/>
        </w:rPr>
      </w:pPr>
      <w:r>
        <w:rPr>
          <w:noProof/>
          <w:lang w:val="lt-LT"/>
        </w:rPr>
        <w:drawing>
          <wp:inline distT="0" distB="0" distL="0" distR="0" wp14:anchorId="7447AB3A" wp14:editId="41745AAF">
            <wp:extent cx="6116320" cy="3992880"/>
            <wp:effectExtent l="0" t="0" r="0" b="7620"/>
            <wp:docPr id="1179527726"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527726" name="Paveikslėlis 1179527726"/>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16320" cy="3992880"/>
                    </a:xfrm>
                    <a:prstGeom prst="rect">
                      <a:avLst/>
                    </a:prstGeom>
                  </pic:spPr>
                </pic:pic>
              </a:graphicData>
            </a:graphic>
          </wp:inline>
        </w:drawing>
      </w:r>
    </w:p>
    <w:p w14:paraId="7365C07E" w14:textId="3A2D7FEA" w:rsidR="001D70B0" w:rsidRDefault="001D70B0" w:rsidP="003413CA">
      <w:pPr>
        <w:pStyle w:val="pagrindinistekstas"/>
        <w:rPr>
          <w:lang w:val="lt-LT"/>
        </w:rPr>
      </w:pPr>
      <w:r>
        <w:rPr>
          <w:lang w:val="lt-LT"/>
        </w:rPr>
        <w:t>Oficiali statistika rodo, jog dėl perteklinių ir nepagrįstų reguliacinių sprendimų 2025 metais toliau mažėjo antžeminių vietų – šalyje toliau neveikė nei vienas totalizatoriaus punktas ar bingo salonas, B kategorijos salonų skaičius sumažėjo iki 164 (-9 proc.), o lažybų punktų iki 64 (-4 proc.). Bendros vartotojų išlaidos antžeminėms lošimų paslaugoms iš esmės nesikeičia jau nuo 2015-2016 metų.</w:t>
      </w:r>
    </w:p>
    <w:p w14:paraId="01AFBE7B" w14:textId="710EEBB2" w:rsidR="001D70B0" w:rsidRDefault="001D70B0" w:rsidP="003413CA">
      <w:pPr>
        <w:pStyle w:val="pagrindinistekstas"/>
        <w:rPr>
          <w:lang w:val="lt-LT"/>
        </w:rPr>
      </w:pPr>
      <w:r>
        <w:rPr>
          <w:lang w:val="lt-LT"/>
        </w:rPr>
        <w:t xml:space="preserve">Tuo metu vartotojų išlaidos </w:t>
      </w:r>
      <w:r w:rsidR="00A05354">
        <w:rPr>
          <w:lang w:val="lt-LT"/>
        </w:rPr>
        <w:t>nuotolinėms lošimo paslaugoms per metus (lyginant su 2024 metais) paaugo 19 proc., o loterijoms 9 proc.</w:t>
      </w:r>
      <w:r w:rsidR="008B4B5A">
        <w:rPr>
          <w:lang w:val="lt-LT"/>
        </w:rPr>
        <w:t xml:space="preserve"> Būtent nuotolinių lošimo paslaugų augimas tiesiogiai atkartoja prašymų neleisti lošti skaičiaus augimą. Per 2025 metus prašymų neleisti lošti skaičius išaugo dar 2,7 tūkst. prašymų ir metų pabaigoje iš viso tokių galiojančių prašymų buvo 20,8 tūkst.</w:t>
      </w:r>
    </w:p>
    <w:p w14:paraId="293E8CAC" w14:textId="53D58CCA" w:rsidR="00B86389" w:rsidRDefault="00B86389" w:rsidP="00B86389">
      <w:pPr>
        <w:pStyle w:val="pagrindinistekstas"/>
        <w:rPr>
          <w:lang w:val="lt-LT"/>
        </w:rPr>
      </w:pPr>
      <w:r>
        <w:rPr>
          <w:lang w:val="lt-LT"/>
        </w:rPr>
        <w:t xml:space="preserve">Vasario mėnesį Nacionalinė lošimų ir žaidimų verslo asociacija kreipėsi į Seimo valdybą ir pateikė duomenis, jog dėl netinkamos valstybės politikos, ydingo reguliavimo ir mokestinės sistemos vien 2025 metais valstybė negavo iki 70-80 mln. eurų biudžeto pajamų. Asociacija prašė </w:t>
      </w:r>
      <w:r w:rsidRPr="00B86389">
        <w:rPr>
          <w:lang w:val="lt-LT"/>
        </w:rPr>
        <w:t>imtis iniciatyvos ir</w:t>
      </w:r>
      <w:r>
        <w:rPr>
          <w:lang w:val="lt-LT"/>
        </w:rPr>
        <w:t xml:space="preserve"> i</w:t>
      </w:r>
      <w:r w:rsidRPr="00B86389">
        <w:rPr>
          <w:lang w:val="lt-LT"/>
        </w:rPr>
        <w:t>nicijuoti parlamentinį tyrimą</w:t>
      </w:r>
      <w:r>
        <w:rPr>
          <w:lang w:val="lt-LT"/>
        </w:rPr>
        <w:t xml:space="preserve">, įvertinti </w:t>
      </w:r>
      <w:r w:rsidRPr="00B86389">
        <w:rPr>
          <w:lang w:val="lt-LT"/>
        </w:rPr>
        <w:t>neigiamus padarinius ir parengt</w:t>
      </w:r>
      <w:r>
        <w:rPr>
          <w:lang w:val="lt-LT"/>
        </w:rPr>
        <w:t>i</w:t>
      </w:r>
      <w:r w:rsidRPr="00B86389">
        <w:rPr>
          <w:lang w:val="lt-LT"/>
        </w:rPr>
        <w:t xml:space="preserve"> aiškiai nustatytą ir </w:t>
      </w:r>
      <w:r w:rsidRPr="00B86389">
        <w:rPr>
          <w:lang w:val="lt-LT"/>
        </w:rPr>
        <w:lastRenderedPageBreak/>
        <w:t>prognozuojamą lošimų paslaugų sektoriaus reguliavimo koncepciją</w:t>
      </w:r>
      <w:r>
        <w:rPr>
          <w:lang w:val="lt-LT"/>
        </w:rPr>
        <w:t>, s</w:t>
      </w:r>
      <w:r w:rsidRPr="00B86389">
        <w:rPr>
          <w:lang w:val="lt-LT"/>
        </w:rPr>
        <w:t>udaryti darbo grupę naujos redakcijos pagrindiniams lošimo paslaugų rinką reglamentuojantiems teisės aktams parengti.</w:t>
      </w:r>
    </w:p>
    <w:p w14:paraId="524BE9C1" w14:textId="6794226A" w:rsidR="00B86389" w:rsidRPr="00B86389" w:rsidRDefault="00B86389" w:rsidP="00B86389">
      <w:pPr>
        <w:pStyle w:val="pagrindinistekstas"/>
        <w:rPr>
          <w:lang w:val="lt-LT"/>
        </w:rPr>
      </w:pPr>
      <w:r>
        <w:rPr>
          <w:lang w:val="lt-LT"/>
        </w:rPr>
        <w:t>Antradienį, balandžio 28 dieną, Seimo Biudžeto ir finansų bei Ekonomikos komitetų pirmininkai susitinka su azartinių lošimų verslo asociacijų ir bendrovių vadovais. Susitikimo metu bus diskutuojama dėl pagrindinių valstybės politikos azartinių lošimų srityje krypčių.</w:t>
      </w:r>
    </w:p>
    <w:p w14:paraId="463417CD" w14:textId="77777777" w:rsidR="00A24B3E" w:rsidRDefault="00A24B3E" w:rsidP="00722D11">
      <w:pPr>
        <w:pStyle w:val="pagrindinistekstas"/>
        <w:rPr>
          <w:lang w:val="lt-LT"/>
        </w:rPr>
      </w:pPr>
    </w:p>
    <w:p w14:paraId="144339E1" w14:textId="139C69E6" w:rsidR="008E2819" w:rsidRPr="003413CA" w:rsidRDefault="008E2819" w:rsidP="008E2819">
      <w:pPr>
        <w:pStyle w:val="pagrindinistekstas"/>
        <w:jc w:val="center"/>
        <w:rPr>
          <w:lang w:val="lt-LT"/>
        </w:rPr>
      </w:pPr>
      <w:r>
        <w:rPr>
          <w:lang w:val="lt-LT"/>
        </w:rPr>
        <w:t>***</w:t>
      </w:r>
    </w:p>
    <w:p w14:paraId="203789AC" w14:textId="506B3F04" w:rsidR="003413CA" w:rsidRPr="008E2819" w:rsidRDefault="003413CA" w:rsidP="003413CA">
      <w:pPr>
        <w:pStyle w:val="pagrindinistekstas"/>
        <w:rPr>
          <w:b/>
          <w:bCs/>
          <w:lang w:val="lt-LT"/>
        </w:rPr>
      </w:pPr>
      <w:r w:rsidRPr="008E2819">
        <w:rPr>
          <w:b/>
          <w:bCs/>
          <w:lang w:val="lt-LT"/>
        </w:rPr>
        <w:t xml:space="preserve">Apie </w:t>
      </w:r>
      <w:r w:rsidR="00EB302C">
        <w:rPr>
          <w:b/>
          <w:bCs/>
          <w:lang w:val="lt-LT"/>
        </w:rPr>
        <w:t>asociaciją</w:t>
      </w:r>
      <w:r w:rsidRPr="008E2819">
        <w:rPr>
          <w:b/>
          <w:bCs/>
          <w:lang w:val="lt-LT"/>
        </w:rPr>
        <w:t>:</w:t>
      </w:r>
    </w:p>
    <w:p w14:paraId="0DA94422" w14:textId="57C87E92" w:rsidR="003413CA" w:rsidRPr="0021484C" w:rsidRDefault="001D3033" w:rsidP="003413CA">
      <w:pPr>
        <w:pStyle w:val="pagrindinistekstas"/>
        <w:rPr>
          <w:i/>
          <w:iCs/>
          <w:lang w:val="lt-LT"/>
        </w:rPr>
      </w:pPr>
      <w:r w:rsidRPr="0021484C">
        <w:rPr>
          <w:i/>
          <w:iCs/>
          <w:lang w:val="lt-LT"/>
        </w:rPr>
        <w:t>Nacionalinė lošimų ir žaidimų verslo asociacija (</w:t>
      </w:r>
      <w:r w:rsidR="00724E7E" w:rsidRPr="0021484C">
        <w:rPr>
          <w:i/>
          <w:iCs/>
          <w:lang w:val="lt-LT"/>
        </w:rPr>
        <w:t>NLŽVA</w:t>
      </w:r>
      <w:r w:rsidRPr="0021484C">
        <w:rPr>
          <w:i/>
          <w:iCs/>
          <w:lang w:val="lt-LT"/>
        </w:rPr>
        <w:t>)</w:t>
      </w:r>
      <w:r w:rsidR="00724E7E" w:rsidRPr="0021484C">
        <w:rPr>
          <w:i/>
          <w:iCs/>
          <w:lang w:val="lt-LT"/>
        </w:rPr>
        <w:t xml:space="preserve"> veikia nuo 1994 metų, aktyviai dalyva</w:t>
      </w:r>
      <w:r w:rsidRPr="0021484C">
        <w:rPr>
          <w:i/>
          <w:iCs/>
          <w:lang w:val="lt-LT"/>
        </w:rPr>
        <w:t>vo</w:t>
      </w:r>
      <w:r w:rsidR="00724E7E" w:rsidRPr="0021484C">
        <w:rPr>
          <w:i/>
          <w:iCs/>
          <w:lang w:val="lt-LT"/>
        </w:rPr>
        <w:t xml:space="preserve"> legalizuojant azartinius lošimus Lietuvoje, koncentruojasi išimtinai į klausimus susijusius su lošimo paslaugų (lošimų ir loterijų) teisiniu reguliavimu, atlieka teisės aktų analizę ir vertinimą, teikia siūlymus valstybės institucijoms. Ilgametė asociacijos ekspertinė patirtis, įžvalgos ir analizė turėtų padėti valstybei ištaisyti padarytas teisinio reguliavimo klaidas, užtikrinti efektyvesnį valstybės reguliavimą, didinti biudžeto pajamas ir neutralizuoti neigiamas socialines pasekmes visuomenei, tuo pat metu užtikrinti tvarų lošimo paslaugų rinkos funkcionavimą.</w:t>
      </w:r>
    </w:p>
    <w:p w14:paraId="2D06B3B4" w14:textId="77777777" w:rsidR="002A5995" w:rsidRDefault="003413CA" w:rsidP="001D3033">
      <w:pPr>
        <w:pStyle w:val="pagrindinistekstas"/>
        <w:rPr>
          <w:b/>
          <w:bCs/>
          <w:lang w:val="lt-LT"/>
        </w:rPr>
      </w:pPr>
      <w:r w:rsidRPr="001D3033">
        <w:rPr>
          <w:b/>
          <w:bCs/>
          <w:lang w:val="lt-LT"/>
        </w:rPr>
        <w:t>Kontaktai:</w:t>
      </w:r>
    </w:p>
    <w:p w14:paraId="25F34F63" w14:textId="562FDCC5" w:rsidR="001D3033" w:rsidRDefault="003413CA" w:rsidP="001D3033">
      <w:pPr>
        <w:pStyle w:val="pagrindinistekstas"/>
        <w:rPr>
          <w:rStyle w:val="a0"/>
          <w:lang w:val="lt-LT"/>
        </w:rPr>
      </w:pPr>
      <w:r w:rsidRPr="002A5995">
        <w:rPr>
          <w:i/>
          <w:iCs/>
          <w:lang w:val="lt-LT"/>
        </w:rPr>
        <w:t>Liutauras Ulevičiu</w:t>
      </w:r>
      <w:r w:rsidR="001D3033" w:rsidRPr="002A5995">
        <w:rPr>
          <w:i/>
          <w:iCs/>
          <w:lang w:val="lt-LT"/>
        </w:rPr>
        <w:t>s,</w:t>
      </w:r>
      <w:r w:rsidR="00A866ED">
        <w:rPr>
          <w:i/>
          <w:iCs/>
          <w:lang w:val="lt-LT"/>
        </w:rPr>
        <w:tab/>
      </w:r>
      <w:r w:rsidR="00A866ED">
        <w:rPr>
          <w:i/>
          <w:iCs/>
          <w:lang w:val="lt-LT"/>
        </w:rPr>
        <w:br/>
      </w:r>
      <w:r w:rsidRPr="002A5995">
        <w:rPr>
          <w:rStyle w:val="a0"/>
          <w:i/>
          <w:iCs/>
          <w:lang w:val="lt-LT"/>
        </w:rPr>
        <w:t>Nacionalinės lošimų ir žaidimų verslo asociacijos prezidentas</w:t>
      </w:r>
      <w:r w:rsidR="001D3033" w:rsidRPr="002A5995">
        <w:rPr>
          <w:rStyle w:val="a0"/>
          <w:i/>
          <w:iCs/>
          <w:lang w:val="lt-LT"/>
        </w:rPr>
        <w:tab/>
      </w:r>
      <w:r w:rsidR="001D3033" w:rsidRPr="002A5995">
        <w:rPr>
          <w:rStyle w:val="a0"/>
          <w:i/>
          <w:iCs/>
          <w:lang w:val="lt-LT"/>
        </w:rPr>
        <w:br/>
        <w:t>Tel. +370 686 08820</w:t>
      </w:r>
      <w:r w:rsidR="001D3033" w:rsidRPr="002A5995">
        <w:rPr>
          <w:rStyle w:val="a0"/>
          <w:i/>
          <w:iCs/>
          <w:lang w:val="lt-LT"/>
        </w:rPr>
        <w:tab/>
      </w:r>
      <w:r w:rsidR="001D3033" w:rsidRPr="002A5995">
        <w:rPr>
          <w:rStyle w:val="a0"/>
          <w:i/>
          <w:iCs/>
          <w:lang w:val="lt-LT"/>
        </w:rPr>
        <w:br/>
        <w:t>El. paštas info@nlzva.lt</w:t>
      </w:r>
    </w:p>
    <w:p w14:paraId="31C0E7AC" w14:textId="77777777" w:rsidR="00E866BE" w:rsidRDefault="00E866BE" w:rsidP="001D3033">
      <w:pPr>
        <w:pStyle w:val="pagrindinistekstas"/>
        <w:rPr>
          <w:rStyle w:val="a0"/>
          <w:lang w:val="lt-LT"/>
        </w:rPr>
      </w:pPr>
    </w:p>
    <w:p w14:paraId="1DE8D99B" w14:textId="508FA52F" w:rsidR="00BD79E7" w:rsidRPr="00BD79E7" w:rsidRDefault="00DE2CE3" w:rsidP="001D3033">
      <w:pPr>
        <w:pStyle w:val="pagrindinistekstas"/>
        <w:rPr>
          <w:rStyle w:val="a0"/>
          <w:lang w:val="lt-LT"/>
        </w:rPr>
      </w:pPr>
      <w:r>
        <w:rPr>
          <w:rStyle w:val="a0"/>
          <w:lang w:val="lt-LT"/>
        </w:rPr>
        <w:t>Asociacijos kreipimasis į Seimo valdyb</w:t>
      </w:r>
      <w:r w:rsidR="004C19F0">
        <w:rPr>
          <w:rStyle w:val="a0"/>
          <w:lang w:val="lt-LT"/>
        </w:rPr>
        <w:t xml:space="preserve">ą ir kiti raštai valstybės institucijoms </w:t>
      </w:r>
      <w:r>
        <w:rPr>
          <w:rStyle w:val="a0"/>
          <w:lang w:val="lt-LT"/>
        </w:rPr>
        <w:t>skelbiamas interneto svetainėje</w:t>
      </w:r>
      <w:r w:rsidR="004477C5">
        <w:rPr>
          <w:rStyle w:val="a0"/>
          <w:lang w:val="lt-LT"/>
        </w:rPr>
        <w:t xml:space="preserve"> </w:t>
      </w:r>
      <w:r w:rsidRPr="00165A11">
        <w:rPr>
          <w:rStyle w:val="a0"/>
          <w:i/>
          <w:iCs/>
          <w:lang w:val="lt-LT"/>
        </w:rPr>
        <w:t>www.losimai.eu/valstybei-teikti-rastai</w:t>
      </w:r>
    </w:p>
    <w:sectPr w:rsidR="00BD79E7" w:rsidRPr="00BD79E7">
      <w:headerReference w:type="first" r:id="rId8"/>
      <w:pgSz w:w="11900" w:h="16840"/>
      <w:pgMar w:top="1701" w:right="1134" w:bottom="1134" w:left="1134"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EA1B5" w14:textId="77777777" w:rsidR="004E1C57" w:rsidRDefault="004E1C57">
      <w:r>
        <w:separator/>
      </w:r>
    </w:p>
  </w:endnote>
  <w:endnote w:type="continuationSeparator" w:id="0">
    <w:p w14:paraId="058D6963" w14:textId="77777777" w:rsidR="004E1C57" w:rsidRDefault="004E1C57">
      <w:r>
        <w:continuationSeparator/>
      </w:r>
    </w:p>
  </w:endnote>
  <w:endnote w:type="continuationNotice" w:id="1">
    <w:p w14:paraId="26037F93" w14:textId="77777777" w:rsidR="004E1C57" w:rsidRDefault="004E1C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default"/>
  </w:font>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4E92C" w14:textId="77777777" w:rsidR="004E1C57" w:rsidRDefault="004E1C57">
      <w:r>
        <w:separator/>
      </w:r>
    </w:p>
  </w:footnote>
  <w:footnote w:type="continuationSeparator" w:id="0">
    <w:p w14:paraId="3724D638" w14:textId="77777777" w:rsidR="004E1C57" w:rsidRDefault="004E1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DCE15" w14:textId="77777777" w:rsidR="00F57CEC" w:rsidRDefault="00000000">
    <w:pPr>
      <w:pStyle w:val="Antrats"/>
      <w:tabs>
        <w:tab w:val="clear" w:pos="9638"/>
        <w:tab w:val="right" w:pos="9612"/>
      </w:tabs>
      <w:jc w:val="center"/>
    </w:pPr>
    <w:r>
      <w:rPr>
        <w:noProof/>
      </w:rPr>
      <mc:AlternateContent>
        <mc:Choice Requires="wpg">
          <w:drawing>
            <wp:inline distT="0" distB="0" distL="0" distR="0" wp14:anchorId="7C071713" wp14:editId="370D3BF9">
              <wp:extent cx="4526282" cy="640083"/>
              <wp:effectExtent l="0" t="0" r="0" b="0"/>
              <wp:docPr id="1073741827" name="officeArt object" descr="officeArt object"/>
              <wp:cNvGraphicFramePr/>
              <a:graphic xmlns:a="http://schemas.openxmlformats.org/drawingml/2006/main">
                <a:graphicData uri="http://schemas.microsoft.com/office/word/2010/wordprocessingGroup">
                  <wpg:wgp>
                    <wpg:cNvGrpSpPr/>
                    <wpg:grpSpPr>
                      <a:xfrm>
                        <a:off x="0" y="0"/>
                        <a:ext cx="4526282" cy="640083"/>
                        <a:chOff x="0" y="0"/>
                        <a:chExt cx="4526281" cy="640082"/>
                      </a:xfrm>
                    </wpg:grpSpPr>
                    <wps:wsp>
                      <wps:cNvPr id="1073741825" name="Shape 1073741825"/>
                      <wps:cNvSpPr/>
                      <wps:spPr>
                        <a:xfrm>
                          <a:off x="-1" y="-1"/>
                          <a:ext cx="4526282" cy="640083"/>
                        </a:xfrm>
                        <a:prstGeom prst="rect">
                          <a:avLst/>
                        </a:prstGeom>
                        <a:solidFill>
                          <a:srgbClr val="FFFFFF"/>
                        </a:solidFill>
                        <a:ln w="12700" cap="flat">
                          <a:noFill/>
                          <a:miter lim="400000"/>
                        </a:ln>
                        <a:effectLst/>
                      </wps:spPr>
                      <wps:bodyPr/>
                    </wps:wsp>
                    <pic:pic xmlns:pic="http://schemas.openxmlformats.org/drawingml/2006/picture">
                      <pic:nvPicPr>
                        <pic:cNvPr id="1073741826" name="image.jpeg" descr="image.jpeg"/>
                        <pic:cNvPicPr>
                          <a:picLocks noChangeAspect="1"/>
                        </pic:cNvPicPr>
                      </pic:nvPicPr>
                      <pic:blipFill>
                        <a:blip r:embed="rId1"/>
                        <a:stretch>
                          <a:fillRect/>
                        </a:stretch>
                      </pic:blipFill>
                      <pic:spPr>
                        <a:xfrm>
                          <a:off x="-1" y="-1"/>
                          <a:ext cx="4526283" cy="640083"/>
                        </a:xfrm>
                        <a:prstGeom prst="rect">
                          <a:avLst/>
                        </a:prstGeom>
                        <a:ln w="12700" cap="flat">
                          <a:noFill/>
                          <a:miter lim="400000"/>
                        </a:ln>
                        <a:effectLst/>
                      </pic:spPr>
                    </pic:pic>
                  </wpg:wgp>
                </a:graphicData>
              </a:graphic>
            </wp:inline>
          </w:drawing>
        </mc:Choice>
        <mc:Fallback>
          <w:pict>
            <v:group id="_x0000_s1026" style="visibility:visible;width:356.4pt;height:50.4pt;" coordorigin="0,0" coordsize="4526281,640082">
              <v:rect id="_x0000_s1027" style="position:absolute;left:0;top:0;width:4526281;height:640082;">
                <v:fill color="#FFFFFF" opacity="100.0%" type="solid"/>
                <v:stroke on="f" weight="1.0pt" dashstyle="solid" endcap="flat" miterlimit="400.0%" joinstyle="miter" linestyle="single" startarrow="none" startarrowwidth="medium" startarrowlength="medium" endarrow="none" endarrowwidth="medium" endarrowlength="medium"/>
              </v:rect>
              <v:shape id="_x0000_s1028" type="#_x0000_t75" style="position:absolute;left:0;top:0;width:4526281;height:640082;">
                <v:imagedata r:id="rId2" o:title="image6.jpeg"/>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53FA"/>
    <w:multiLevelType w:val="hybridMultilevel"/>
    <w:tmpl w:val="E6A27150"/>
    <w:styleLink w:val="7"/>
    <w:lvl w:ilvl="0" w:tplc="7E2858D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0C8A2E4">
      <w:start w:val="1"/>
      <w:numFmt w:val="bullet"/>
      <w:lvlText w:val="o"/>
      <w:lvlJc w:val="left"/>
      <w:pPr>
        <w:ind w:left="1298"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FA4B1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8000D5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A5659A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8EA7FD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49A6C3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ABC13E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80487D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76B4D84"/>
    <w:multiLevelType w:val="hybridMultilevel"/>
    <w:tmpl w:val="0C1A88DE"/>
    <w:styleLink w:val="3"/>
    <w:lvl w:ilvl="0" w:tplc="1B1A3C2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ADE5B7A">
      <w:start w:val="1"/>
      <w:numFmt w:val="bullet"/>
      <w:lvlText w:val="o"/>
      <w:lvlJc w:val="left"/>
      <w:pPr>
        <w:ind w:left="1298"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F442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EF038C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D251E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6EE9EB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31E7F8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A2E27B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AC0037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05B20B1"/>
    <w:multiLevelType w:val="hybridMultilevel"/>
    <w:tmpl w:val="2EAE56DC"/>
    <w:numStyleLink w:val="5"/>
  </w:abstractNum>
  <w:abstractNum w:abstractNumId="3" w15:restartNumberingAfterBreak="0">
    <w:nsid w:val="17A962B7"/>
    <w:multiLevelType w:val="hybridMultilevel"/>
    <w:tmpl w:val="81307AD0"/>
    <w:numStyleLink w:val="10"/>
  </w:abstractNum>
  <w:abstractNum w:abstractNumId="4" w15:restartNumberingAfterBreak="0">
    <w:nsid w:val="1F62298A"/>
    <w:multiLevelType w:val="hybridMultilevel"/>
    <w:tmpl w:val="86F4D67E"/>
    <w:styleLink w:val="4"/>
    <w:lvl w:ilvl="0" w:tplc="2D36B97E">
      <w:start w:val="1"/>
      <w:numFmt w:val="bullet"/>
      <w:lvlText w:val="•"/>
      <w:lvlJc w:val="left"/>
      <w:pPr>
        <w:ind w:left="720" w:hanging="36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1" w:tplc="A628D23A">
      <w:start w:val="1"/>
      <w:numFmt w:val="bullet"/>
      <w:lvlText w:val="o"/>
      <w:lvlJc w:val="left"/>
      <w:pPr>
        <w:ind w:left="1298" w:hanging="218"/>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2" w:tplc="B92C454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3F4F578">
      <w:start w:val="1"/>
      <w:numFmt w:val="bullet"/>
      <w:lvlText w:val="•"/>
      <w:lvlJc w:val="left"/>
      <w:pPr>
        <w:ind w:left="2880" w:hanging="36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4" w:tplc="91ECA8FC">
      <w:start w:val="1"/>
      <w:numFmt w:val="bullet"/>
      <w:lvlText w:val="o"/>
      <w:lvlJc w:val="left"/>
      <w:pPr>
        <w:ind w:left="3600" w:hanging="36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5" w:tplc="4D72777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1E8D434">
      <w:start w:val="1"/>
      <w:numFmt w:val="bullet"/>
      <w:lvlText w:val="•"/>
      <w:lvlJc w:val="left"/>
      <w:pPr>
        <w:ind w:left="5040" w:hanging="36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7" w:tplc="569AE74E">
      <w:start w:val="1"/>
      <w:numFmt w:val="bullet"/>
      <w:lvlText w:val="o"/>
      <w:lvlJc w:val="left"/>
      <w:pPr>
        <w:ind w:left="5760" w:hanging="36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8" w:tplc="5F32664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28A20ED6"/>
    <w:multiLevelType w:val="hybridMultilevel"/>
    <w:tmpl w:val="91F4E61C"/>
    <w:numStyleLink w:val="1"/>
  </w:abstractNum>
  <w:abstractNum w:abstractNumId="6" w15:restartNumberingAfterBreak="0">
    <w:nsid w:val="3881716A"/>
    <w:multiLevelType w:val="hybridMultilevel"/>
    <w:tmpl w:val="81307AD0"/>
    <w:styleLink w:val="10"/>
    <w:lvl w:ilvl="0" w:tplc="F2E4CD6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D6AD30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6863F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5A604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052E23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B6C55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5126E1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6305ED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F0A69B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3C472EE9"/>
    <w:multiLevelType w:val="hybridMultilevel"/>
    <w:tmpl w:val="E6A27150"/>
    <w:numStyleLink w:val="7"/>
  </w:abstractNum>
  <w:abstractNum w:abstractNumId="8" w15:restartNumberingAfterBreak="0">
    <w:nsid w:val="51894E43"/>
    <w:multiLevelType w:val="hybridMultilevel"/>
    <w:tmpl w:val="0C1A88DE"/>
    <w:numStyleLink w:val="3"/>
  </w:abstractNum>
  <w:abstractNum w:abstractNumId="9" w15:restartNumberingAfterBreak="0">
    <w:nsid w:val="51F61869"/>
    <w:multiLevelType w:val="hybridMultilevel"/>
    <w:tmpl w:val="86F4D67E"/>
    <w:numStyleLink w:val="4"/>
  </w:abstractNum>
  <w:abstractNum w:abstractNumId="10" w15:restartNumberingAfterBreak="0">
    <w:nsid w:val="55B43429"/>
    <w:multiLevelType w:val="hybridMultilevel"/>
    <w:tmpl w:val="91F4E61C"/>
    <w:styleLink w:val="1"/>
    <w:lvl w:ilvl="0" w:tplc="8488FA2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E60C4FA">
      <w:start w:val="1"/>
      <w:numFmt w:val="bullet"/>
      <w:lvlText w:val="o"/>
      <w:lvlJc w:val="left"/>
      <w:pPr>
        <w:ind w:left="1298"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C9875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35240D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DEE91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624BEE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8E1BB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BB25EE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9656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5F563078"/>
    <w:multiLevelType w:val="hybridMultilevel"/>
    <w:tmpl w:val="2EAE56DC"/>
    <w:styleLink w:val="5"/>
    <w:lvl w:ilvl="0" w:tplc="B7EC70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42E46A2">
      <w:start w:val="1"/>
      <w:numFmt w:val="bullet"/>
      <w:lvlText w:val="o"/>
      <w:lvlJc w:val="left"/>
      <w:pPr>
        <w:ind w:left="1298"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EA57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4545DE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B5E16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5894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E064EF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F80225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2E8511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662A163F"/>
    <w:multiLevelType w:val="hybridMultilevel"/>
    <w:tmpl w:val="52863206"/>
    <w:styleLink w:val="2"/>
    <w:lvl w:ilvl="0" w:tplc="8F0C3E60">
      <w:start w:val="1"/>
      <w:numFmt w:val="decimal"/>
      <w:lvlText w:val="%1."/>
      <w:lvlJc w:val="left"/>
      <w:pPr>
        <w:ind w:left="72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1" w:tplc="4956F078">
      <w:start w:val="1"/>
      <w:numFmt w:val="decimal"/>
      <w:lvlText w:val="%2."/>
      <w:lvlJc w:val="left"/>
      <w:pPr>
        <w:ind w:left="108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2" w:tplc="E1B681BC">
      <w:start w:val="1"/>
      <w:numFmt w:val="decimal"/>
      <w:lvlText w:val="%3."/>
      <w:lvlJc w:val="left"/>
      <w:pPr>
        <w:ind w:left="180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3" w:tplc="7E8077B4">
      <w:start w:val="1"/>
      <w:numFmt w:val="decimal"/>
      <w:lvlText w:val="%4."/>
      <w:lvlJc w:val="left"/>
      <w:pPr>
        <w:ind w:left="252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4" w:tplc="B84AA2CA">
      <w:start w:val="1"/>
      <w:numFmt w:val="decimal"/>
      <w:lvlText w:val="%5."/>
      <w:lvlJc w:val="left"/>
      <w:pPr>
        <w:ind w:left="324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5" w:tplc="A7AC15C8">
      <w:start w:val="1"/>
      <w:numFmt w:val="decimal"/>
      <w:lvlText w:val="%6."/>
      <w:lvlJc w:val="left"/>
      <w:pPr>
        <w:ind w:left="396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6" w:tplc="DC4602AC">
      <w:start w:val="1"/>
      <w:numFmt w:val="decimal"/>
      <w:lvlText w:val="%7."/>
      <w:lvlJc w:val="left"/>
      <w:pPr>
        <w:ind w:left="468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7" w:tplc="E3B2D3EE">
      <w:start w:val="1"/>
      <w:numFmt w:val="decimal"/>
      <w:lvlText w:val="%8."/>
      <w:lvlJc w:val="left"/>
      <w:pPr>
        <w:ind w:left="5400" w:hanging="360"/>
      </w:pPr>
      <w:rPr>
        <w:rFonts w:hAnsi="Arial Unicode MS"/>
        <w:i/>
        <w:iCs/>
        <w:caps w:val="0"/>
        <w:smallCaps w:val="0"/>
        <w:strike w:val="0"/>
        <w:dstrike w:val="0"/>
        <w:outline w:val="0"/>
        <w:emboss w:val="0"/>
        <w:imprint w:val="0"/>
        <w:spacing w:val="0"/>
        <w:w w:val="100"/>
        <w:kern w:val="0"/>
        <w:position w:val="0"/>
        <w:highlight w:val="none"/>
        <w:vertAlign w:val="baseline"/>
      </w:rPr>
    </w:lvl>
    <w:lvl w:ilvl="8" w:tplc="D1CC1320">
      <w:start w:val="1"/>
      <w:numFmt w:val="decimal"/>
      <w:lvlText w:val="%9."/>
      <w:lvlJc w:val="left"/>
      <w:pPr>
        <w:ind w:left="6120" w:hanging="360"/>
      </w:pPr>
      <w:rPr>
        <w:rFonts w:hAnsi="Arial Unicode MS"/>
        <w:i/>
        <w:iC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735D0C1E"/>
    <w:multiLevelType w:val="hybridMultilevel"/>
    <w:tmpl w:val="52863206"/>
    <w:numStyleLink w:val="2"/>
  </w:abstractNum>
  <w:num w:numId="1" w16cid:durableId="1698578628">
    <w:abstractNumId w:val="10"/>
  </w:num>
  <w:num w:numId="2" w16cid:durableId="1086340295">
    <w:abstractNumId w:val="5"/>
  </w:num>
  <w:num w:numId="3" w16cid:durableId="770007012">
    <w:abstractNumId w:val="12"/>
  </w:num>
  <w:num w:numId="4" w16cid:durableId="1331522874">
    <w:abstractNumId w:val="13"/>
  </w:num>
  <w:num w:numId="5" w16cid:durableId="1311055196">
    <w:abstractNumId w:val="6"/>
  </w:num>
  <w:num w:numId="6" w16cid:durableId="861672151">
    <w:abstractNumId w:val="3"/>
  </w:num>
  <w:num w:numId="7" w16cid:durableId="2143960365">
    <w:abstractNumId w:val="1"/>
  </w:num>
  <w:num w:numId="8" w16cid:durableId="1554081342">
    <w:abstractNumId w:val="8"/>
  </w:num>
  <w:num w:numId="9" w16cid:durableId="1696273611">
    <w:abstractNumId w:val="4"/>
  </w:num>
  <w:num w:numId="10" w16cid:durableId="1632006985">
    <w:abstractNumId w:val="9"/>
  </w:num>
  <w:num w:numId="11" w16cid:durableId="247934033">
    <w:abstractNumId w:val="11"/>
  </w:num>
  <w:num w:numId="12" w16cid:durableId="843009873">
    <w:abstractNumId w:val="2"/>
  </w:num>
  <w:num w:numId="13" w16cid:durableId="1406761492">
    <w:abstractNumId w:val="0"/>
  </w:num>
  <w:num w:numId="14" w16cid:durableId="8027741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defaultTabStop w:val="1298"/>
  <w:hyphenationZone w:val="396"/>
  <w:characterSpacingControl w:val="doNotCompres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CEC"/>
    <w:rsid w:val="000262B4"/>
    <w:rsid w:val="0003420E"/>
    <w:rsid w:val="00073E66"/>
    <w:rsid w:val="00085F59"/>
    <w:rsid w:val="000C0285"/>
    <w:rsid w:val="000C1D03"/>
    <w:rsid w:val="000D214C"/>
    <w:rsid w:val="00130C75"/>
    <w:rsid w:val="00165A11"/>
    <w:rsid w:val="00194861"/>
    <w:rsid w:val="001B4EDB"/>
    <w:rsid w:val="001D3033"/>
    <w:rsid w:val="001D70B0"/>
    <w:rsid w:val="001F74B3"/>
    <w:rsid w:val="0021484C"/>
    <w:rsid w:val="002A5995"/>
    <w:rsid w:val="002B1B67"/>
    <w:rsid w:val="002C33C4"/>
    <w:rsid w:val="002F7BE5"/>
    <w:rsid w:val="00313617"/>
    <w:rsid w:val="00313EBB"/>
    <w:rsid w:val="00334871"/>
    <w:rsid w:val="003413CA"/>
    <w:rsid w:val="003515A4"/>
    <w:rsid w:val="003540AF"/>
    <w:rsid w:val="003A01DC"/>
    <w:rsid w:val="003A619A"/>
    <w:rsid w:val="003C2694"/>
    <w:rsid w:val="003D69A2"/>
    <w:rsid w:val="004477C5"/>
    <w:rsid w:val="00467703"/>
    <w:rsid w:val="004B238D"/>
    <w:rsid w:val="004C19F0"/>
    <w:rsid w:val="004E1C57"/>
    <w:rsid w:val="004E47D9"/>
    <w:rsid w:val="004F0A12"/>
    <w:rsid w:val="004F5B68"/>
    <w:rsid w:val="00524BCF"/>
    <w:rsid w:val="0052712D"/>
    <w:rsid w:val="005618ED"/>
    <w:rsid w:val="005B2184"/>
    <w:rsid w:val="005C52B7"/>
    <w:rsid w:val="005E706E"/>
    <w:rsid w:val="005F6E76"/>
    <w:rsid w:val="0061066F"/>
    <w:rsid w:val="0062097D"/>
    <w:rsid w:val="006440B1"/>
    <w:rsid w:val="006515A5"/>
    <w:rsid w:val="00653569"/>
    <w:rsid w:val="00656AF1"/>
    <w:rsid w:val="006C115C"/>
    <w:rsid w:val="006C2C0D"/>
    <w:rsid w:val="00722D11"/>
    <w:rsid w:val="00724297"/>
    <w:rsid w:val="00724E7E"/>
    <w:rsid w:val="0075165F"/>
    <w:rsid w:val="00773AA6"/>
    <w:rsid w:val="00781D3C"/>
    <w:rsid w:val="00791D33"/>
    <w:rsid w:val="00795118"/>
    <w:rsid w:val="00797050"/>
    <w:rsid w:val="007A23E5"/>
    <w:rsid w:val="007B47B8"/>
    <w:rsid w:val="007C2E92"/>
    <w:rsid w:val="007C36A4"/>
    <w:rsid w:val="007E28B7"/>
    <w:rsid w:val="007F7DF9"/>
    <w:rsid w:val="00842A5C"/>
    <w:rsid w:val="00842FFF"/>
    <w:rsid w:val="00845492"/>
    <w:rsid w:val="008947A8"/>
    <w:rsid w:val="008B336B"/>
    <w:rsid w:val="008B4B5A"/>
    <w:rsid w:val="008E2819"/>
    <w:rsid w:val="00980D93"/>
    <w:rsid w:val="009D1EBC"/>
    <w:rsid w:val="009E63C1"/>
    <w:rsid w:val="00A05354"/>
    <w:rsid w:val="00A1047E"/>
    <w:rsid w:val="00A23E53"/>
    <w:rsid w:val="00A24B3E"/>
    <w:rsid w:val="00A3782B"/>
    <w:rsid w:val="00A50F21"/>
    <w:rsid w:val="00A812C5"/>
    <w:rsid w:val="00A866ED"/>
    <w:rsid w:val="00B76814"/>
    <w:rsid w:val="00B769DB"/>
    <w:rsid w:val="00B76A6B"/>
    <w:rsid w:val="00B86389"/>
    <w:rsid w:val="00BC3192"/>
    <w:rsid w:val="00BD79E7"/>
    <w:rsid w:val="00BF3ED2"/>
    <w:rsid w:val="00C3306F"/>
    <w:rsid w:val="00C54BF4"/>
    <w:rsid w:val="00C64797"/>
    <w:rsid w:val="00C975A1"/>
    <w:rsid w:val="00CD24B2"/>
    <w:rsid w:val="00CD3851"/>
    <w:rsid w:val="00CE1BAD"/>
    <w:rsid w:val="00CF6DBA"/>
    <w:rsid w:val="00D03096"/>
    <w:rsid w:val="00D2225F"/>
    <w:rsid w:val="00D26B7E"/>
    <w:rsid w:val="00D6488D"/>
    <w:rsid w:val="00D66129"/>
    <w:rsid w:val="00D83B09"/>
    <w:rsid w:val="00D96229"/>
    <w:rsid w:val="00DA378B"/>
    <w:rsid w:val="00DA6D24"/>
    <w:rsid w:val="00DD5304"/>
    <w:rsid w:val="00DE2CE3"/>
    <w:rsid w:val="00DE4787"/>
    <w:rsid w:val="00DF51BD"/>
    <w:rsid w:val="00E071C2"/>
    <w:rsid w:val="00E71B6D"/>
    <w:rsid w:val="00E724D4"/>
    <w:rsid w:val="00E8464B"/>
    <w:rsid w:val="00E866BE"/>
    <w:rsid w:val="00E95330"/>
    <w:rsid w:val="00EB302C"/>
    <w:rsid w:val="00ED5376"/>
    <w:rsid w:val="00F57CEC"/>
    <w:rsid w:val="00F73F4A"/>
    <w:rsid w:val="00F96107"/>
    <w:rsid w:val="00FB3F5C"/>
    <w:rsid w:val="00FD4282"/>
    <w:rsid w:val="00FD4363"/>
    <w:rsid w:val="00FE3C2C"/>
    <w:rsid w:val="00FF1F33"/>
    <w:rsid w:val="00FF51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D5894"/>
  <w15:docId w15:val="{05B15F84-EAFD-4DA7-B87F-1E3C87932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cs="Arial Unicode MS"/>
      <w:color w:val="000000"/>
      <w:sz w:val="24"/>
      <w:szCs w:val="24"/>
      <w:u w:color="00000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ntrats">
    <w:name w:val="header"/>
    <w:pPr>
      <w:tabs>
        <w:tab w:val="center" w:pos="4819"/>
        <w:tab w:val="right" w:pos="9638"/>
      </w:tabs>
      <w:suppressAutoHyphens/>
    </w:pPr>
    <w:rPr>
      <w:rFonts w:cs="Arial Unicode MS"/>
      <w:color w:val="000000"/>
      <w:sz w:val="24"/>
      <w:szCs w:val="24"/>
      <w:u w:color="000000"/>
      <w:lang w:val="en-US"/>
    </w:rPr>
  </w:style>
  <w:style w:type="paragraph" w:styleId="Porat">
    <w:name w:val="footer"/>
    <w:pPr>
      <w:tabs>
        <w:tab w:val="center" w:pos="4819"/>
        <w:tab w:val="right" w:pos="9638"/>
      </w:tabs>
      <w:suppressAutoHyphens/>
    </w:pPr>
    <w:rPr>
      <w:rFonts w:cs="Arial Unicode MS"/>
      <w:color w:val="000000"/>
      <w:sz w:val="24"/>
      <w:szCs w:val="24"/>
      <w:u w:color="000000"/>
      <w:lang w:val="en-US"/>
    </w:rPr>
  </w:style>
  <w:style w:type="paragraph" w:customStyle="1" w:styleId="pagrindinistekstas">
    <w:name w:val="pagrindinis tekstas"/>
    <w:pPr>
      <w:suppressAutoHyphens/>
      <w:spacing w:before="120"/>
      <w:jc w:val="both"/>
    </w:pPr>
    <w:rPr>
      <w:rFonts w:ascii="Cambria" w:hAnsi="Cambria" w:cs="Arial Unicode MS"/>
      <w:color w:val="000000"/>
      <w:sz w:val="22"/>
      <w:szCs w:val="22"/>
      <w:u w:color="000000"/>
      <w:lang w:val="es-ES_tradnl"/>
    </w:rPr>
  </w:style>
  <w:style w:type="paragraph" w:customStyle="1" w:styleId="PAGRINDINISPAVADINIMAS">
    <w:name w:val="PAGRINDINIS PAVADINIMAS"/>
    <w:pPr>
      <w:suppressAutoHyphens/>
      <w:spacing w:before="120" w:after="120"/>
    </w:pPr>
    <w:rPr>
      <w:rFonts w:ascii="Cambria" w:hAnsi="Cambria" w:cs="Arial Unicode MS"/>
      <w:b/>
      <w:bCs/>
      <w:color w:val="000000"/>
      <w:sz w:val="24"/>
      <w:szCs w:val="24"/>
      <w:u w:color="000000"/>
    </w:rPr>
  </w:style>
  <w:style w:type="paragraph" w:styleId="Dokumentoinaostekstas">
    <w:name w:val="endnote text"/>
    <w:pPr>
      <w:suppressAutoHyphens/>
    </w:pPr>
    <w:rPr>
      <w:rFonts w:eastAsia="Times New Roman"/>
      <w:color w:val="000000"/>
      <w:u w:color="000000"/>
      <w:lang w:val="en-US"/>
    </w:rPr>
  </w:style>
  <w:style w:type="character" w:customStyle="1" w:styleId="a0">
    <w:name w:val="Нет"/>
  </w:style>
  <w:style w:type="character" w:customStyle="1" w:styleId="Hyperlink0">
    <w:name w:val="Hyperlink.0"/>
    <w:basedOn w:val="a0"/>
    <w:rPr>
      <w:rFonts w:ascii="Times New Roman" w:eastAsia="Times New Roman" w:hAnsi="Times New Roman" w:cs="Times New Roman"/>
      <w:i/>
      <w:iCs/>
      <w:outline w:val="0"/>
      <w:color w:val="0000FF"/>
      <w:u w:val="single" w:color="0000FF"/>
    </w:rPr>
  </w:style>
  <w:style w:type="numbering" w:customStyle="1" w:styleId="1">
    <w:name w:val="Импортированный стиль 1"/>
    <w:pPr>
      <w:numPr>
        <w:numId w:val="1"/>
      </w:numPr>
    </w:pPr>
  </w:style>
  <w:style w:type="numbering" w:customStyle="1" w:styleId="2">
    <w:name w:val="Импортированный стиль 2"/>
    <w:pPr>
      <w:numPr>
        <w:numId w:val="3"/>
      </w:numPr>
    </w:pPr>
  </w:style>
  <w:style w:type="paragraph" w:customStyle="1" w:styleId="autorius-paraas">
    <w:name w:val="autorius-parašas"/>
    <w:pPr>
      <w:suppressAutoHyphens/>
      <w:spacing w:before="120"/>
    </w:pPr>
    <w:rPr>
      <w:rFonts w:ascii="Cambria" w:hAnsi="Cambria" w:cs="Arial Unicode MS"/>
      <w:i/>
      <w:iCs/>
      <w:color w:val="000000"/>
      <w:sz w:val="22"/>
      <w:szCs w:val="22"/>
      <w:u w:color="000000"/>
      <w:lang w:val="pt-PT"/>
    </w:rPr>
  </w:style>
  <w:style w:type="numbering" w:customStyle="1" w:styleId="10">
    <w:name w:val="Импортированный стиль 1.0"/>
    <w:pPr>
      <w:numPr>
        <w:numId w:val="5"/>
      </w:numPr>
    </w:pPr>
  </w:style>
  <w:style w:type="numbering" w:customStyle="1" w:styleId="3">
    <w:name w:val="Импортированный стиль 3"/>
    <w:pPr>
      <w:numPr>
        <w:numId w:val="7"/>
      </w:numPr>
    </w:pPr>
  </w:style>
  <w:style w:type="numbering" w:customStyle="1" w:styleId="4">
    <w:name w:val="Импортированный стиль 4"/>
    <w:pPr>
      <w:numPr>
        <w:numId w:val="9"/>
      </w:numPr>
    </w:pPr>
  </w:style>
  <w:style w:type="numbering" w:customStyle="1" w:styleId="5">
    <w:name w:val="Импортированный стиль 5"/>
    <w:pPr>
      <w:numPr>
        <w:numId w:val="11"/>
      </w:numPr>
    </w:pPr>
  </w:style>
  <w:style w:type="character" w:customStyle="1" w:styleId="Hyperlink1">
    <w:name w:val="Hyperlink.1"/>
    <w:basedOn w:val="a0"/>
    <w:rPr>
      <w:outline w:val="0"/>
      <w:color w:val="0000FF"/>
      <w:u w:val="single" w:color="0000FF"/>
    </w:rPr>
  </w:style>
  <w:style w:type="numbering" w:customStyle="1" w:styleId="7">
    <w:name w:val="Импортированный стиль 7"/>
    <w:pPr>
      <w:numPr>
        <w:numId w:val="13"/>
      </w:numPr>
    </w:pPr>
  </w:style>
  <w:style w:type="character" w:customStyle="1" w:styleId="Hyperlink2">
    <w:name w:val="Hyperlink.2"/>
    <w:basedOn w:val="a0"/>
    <w:rPr>
      <w:outline w:val="0"/>
      <w:color w:val="0000FF"/>
      <w:u w:val="single" w:color="0000FF"/>
      <w:lang w:val="en-US"/>
    </w:rPr>
  </w:style>
  <w:style w:type="character" w:styleId="Neapdorotaspaminjimas">
    <w:name w:val="Unresolved Mention"/>
    <w:basedOn w:val="Numatytasispastraiposriftas"/>
    <w:uiPriority w:val="99"/>
    <w:semiHidden/>
    <w:unhideWhenUsed/>
    <w:rsid w:val="00BD79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2266</Words>
  <Characters>1292</Characters>
  <Application>Microsoft Office Word</Application>
  <DocSecurity>0</DocSecurity>
  <Lines>10</Lines>
  <Paragraphs>7</Paragraphs>
  <ScaleCrop>false</ScaleCrop>
  <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Liutauras Ulevičius</dc:creator>
  <cp:lastModifiedBy>Liutauras Ulevičius</cp:lastModifiedBy>
  <cp:revision>21</cp:revision>
  <cp:lastPrinted>2025-02-12T06:03:00Z</cp:lastPrinted>
  <dcterms:created xsi:type="dcterms:W3CDTF">2026-04-27T11:45:00Z</dcterms:created>
  <dcterms:modified xsi:type="dcterms:W3CDTF">2026-04-27T12:09:00Z</dcterms:modified>
</cp:coreProperties>
</file>