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AC65" w14:textId="77777777" w:rsidR="00183742" w:rsidRPr="008C490B" w:rsidRDefault="00183742" w:rsidP="00183742">
      <w:pPr>
        <w:rPr>
          <w:rFonts w:ascii="Calibri" w:hAnsi="Calibri" w:cs="Calibri"/>
          <w:bCs/>
          <w:noProof/>
          <w:sz w:val="22"/>
          <w:szCs w:val="22"/>
        </w:rPr>
      </w:pPr>
      <w:r w:rsidRPr="008C490B">
        <w:rPr>
          <w:rFonts w:ascii="Calibri" w:hAnsi="Calibri" w:cs="Calibri"/>
          <w:bCs/>
          <w:noProof/>
          <w:sz w:val="22"/>
          <w:szCs w:val="22"/>
        </w:rPr>
        <w:t>Pranešimas žiniasklaidai</w:t>
      </w:r>
    </w:p>
    <w:p w14:paraId="045E67C0" w14:textId="0FA7622A" w:rsidR="00183742" w:rsidRDefault="00183742" w:rsidP="00183742">
      <w:pPr>
        <w:rPr>
          <w:rFonts w:ascii="Calibri" w:hAnsi="Calibri" w:cs="Calibri"/>
          <w:bCs/>
          <w:noProof/>
          <w:sz w:val="22"/>
          <w:szCs w:val="22"/>
        </w:rPr>
      </w:pPr>
      <w:r w:rsidRPr="008C490B">
        <w:rPr>
          <w:rFonts w:ascii="Calibri" w:hAnsi="Calibri" w:cs="Calibri"/>
          <w:bCs/>
          <w:noProof/>
          <w:sz w:val="22"/>
          <w:szCs w:val="22"/>
        </w:rPr>
        <w:t>202</w:t>
      </w:r>
      <w:r w:rsidR="00C8766A">
        <w:rPr>
          <w:rFonts w:ascii="Calibri" w:hAnsi="Calibri" w:cs="Calibri"/>
          <w:bCs/>
          <w:noProof/>
          <w:sz w:val="22"/>
          <w:szCs w:val="22"/>
        </w:rPr>
        <w:t>6</w:t>
      </w:r>
      <w:r w:rsidRPr="008C490B">
        <w:rPr>
          <w:rFonts w:ascii="Calibri" w:hAnsi="Calibri" w:cs="Calibri"/>
          <w:bCs/>
          <w:noProof/>
          <w:sz w:val="22"/>
          <w:szCs w:val="22"/>
        </w:rPr>
        <w:t>.</w:t>
      </w:r>
      <w:r w:rsidR="00C8766A">
        <w:rPr>
          <w:rFonts w:ascii="Calibri" w:hAnsi="Calibri" w:cs="Calibri"/>
          <w:bCs/>
          <w:noProof/>
          <w:sz w:val="22"/>
          <w:szCs w:val="22"/>
        </w:rPr>
        <w:t>04</w:t>
      </w:r>
      <w:r w:rsidR="0052694D">
        <w:rPr>
          <w:rFonts w:ascii="Calibri" w:hAnsi="Calibri" w:cs="Calibri"/>
          <w:bCs/>
          <w:noProof/>
          <w:sz w:val="22"/>
          <w:szCs w:val="22"/>
        </w:rPr>
        <w:t>.</w:t>
      </w:r>
      <w:r w:rsidR="00C8766A">
        <w:rPr>
          <w:rFonts w:ascii="Calibri" w:hAnsi="Calibri" w:cs="Calibri"/>
          <w:bCs/>
          <w:noProof/>
          <w:sz w:val="22"/>
          <w:szCs w:val="22"/>
        </w:rPr>
        <w:t>30</w:t>
      </w:r>
    </w:p>
    <w:p w14:paraId="41C230DA" w14:textId="77777777" w:rsidR="00C8766A" w:rsidRDefault="00C8766A" w:rsidP="00183742">
      <w:pPr>
        <w:rPr>
          <w:rFonts w:ascii="Calibri" w:hAnsi="Calibri" w:cs="Calibri"/>
          <w:bCs/>
          <w:noProof/>
          <w:sz w:val="22"/>
          <w:szCs w:val="22"/>
        </w:rPr>
      </w:pPr>
    </w:p>
    <w:p w14:paraId="2D3DF247" w14:textId="77777777" w:rsidR="00DA04C1" w:rsidRDefault="00DA04C1" w:rsidP="00DA04C1">
      <w:pPr>
        <w:jc w:val="both"/>
        <w:rPr>
          <w:b/>
          <w:bCs/>
        </w:rPr>
      </w:pPr>
      <w:r w:rsidRPr="004E17B6">
        <w:rPr>
          <w:b/>
          <w:bCs/>
        </w:rPr>
        <w:t xml:space="preserve">„Mantinga Group“ pajamos pernai perkopė </w:t>
      </w:r>
      <w:r w:rsidRPr="004E17B6">
        <w:rPr>
          <w:b/>
          <w:bCs/>
          <w:lang w:val="en-US"/>
        </w:rPr>
        <w:t>200</w:t>
      </w:r>
      <w:r w:rsidRPr="004E17B6">
        <w:rPr>
          <w:b/>
          <w:bCs/>
        </w:rPr>
        <w:t xml:space="preserve"> mln. Eur</w:t>
      </w:r>
    </w:p>
    <w:p w14:paraId="6EFEEAD6" w14:textId="77777777" w:rsidR="00DA04C1" w:rsidRDefault="00DA04C1" w:rsidP="00DA04C1">
      <w:pPr>
        <w:jc w:val="both"/>
        <w:rPr>
          <w:b/>
          <w:bCs/>
        </w:rPr>
      </w:pPr>
      <w:r>
        <w:rPr>
          <w:b/>
          <w:bCs/>
        </w:rPr>
        <w:br/>
      </w:r>
      <w:r w:rsidRPr="004E17B6">
        <w:rPr>
          <w:b/>
          <w:bCs/>
        </w:rPr>
        <w:t xml:space="preserve">Didžiausia Baltijos šalyse duonos, užkandžių ir šaldytos produkcijos gamintoja „Mantinga Group“, konsoliduotais audituotais duomenimis, pernai gavo 200,6 mln. Eur pajamų – </w:t>
      </w:r>
      <w:r>
        <w:rPr>
          <w:b/>
          <w:bCs/>
        </w:rPr>
        <w:t xml:space="preserve">tai yra </w:t>
      </w:r>
      <w:r w:rsidRPr="004E17B6">
        <w:rPr>
          <w:b/>
          <w:bCs/>
        </w:rPr>
        <w:t>7,1% daugiau nei 2024 m. (187,3 mln. Eur). Grupės grynasis pelnas siekė 12,84 mln. Eur ir buvo 0,5% didesnis nei prieš metus</w:t>
      </w:r>
      <w:r>
        <w:rPr>
          <w:b/>
          <w:bCs/>
        </w:rPr>
        <w:t xml:space="preserve"> (</w:t>
      </w:r>
      <w:r w:rsidRPr="005942E4">
        <w:rPr>
          <w:b/>
          <w:bCs/>
        </w:rPr>
        <w:t>12,77 mln.</w:t>
      </w:r>
      <w:r>
        <w:rPr>
          <w:b/>
          <w:bCs/>
        </w:rPr>
        <w:t xml:space="preserve"> Eur).</w:t>
      </w:r>
    </w:p>
    <w:p w14:paraId="3D025035" w14:textId="16904A7C" w:rsidR="00DA04C1" w:rsidRDefault="00DA04C1" w:rsidP="00DA04C1">
      <w:pPr>
        <w:jc w:val="both"/>
      </w:pPr>
      <w:r>
        <w:rPr>
          <w:b/>
          <w:bCs/>
        </w:rPr>
        <w:br/>
      </w:r>
      <w:r w:rsidRPr="004E17B6">
        <w:t xml:space="preserve">„Praėjusiais metais </w:t>
      </w:r>
      <w:r w:rsidR="000C4677">
        <w:t xml:space="preserve">ir toliau </w:t>
      </w:r>
      <w:r w:rsidRPr="004E17B6">
        <w:t>nuosekliai augome</w:t>
      </w:r>
      <w:r w:rsidR="00FA4301">
        <w:t xml:space="preserve">. </w:t>
      </w:r>
      <w:r w:rsidR="002842B1">
        <w:t>Rezultatai galėjo būti dar geresni</w:t>
      </w:r>
      <w:r w:rsidRPr="004E17B6">
        <w:t xml:space="preserve">, </w:t>
      </w:r>
      <w:r w:rsidR="00DC1D49">
        <w:t xml:space="preserve">bet </w:t>
      </w:r>
      <w:r w:rsidRPr="004E17B6">
        <w:t xml:space="preserve">pirmasis </w:t>
      </w:r>
      <w:r w:rsidR="00DC1D49">
        <w:t xml:space="preserve">2025 m. </w:t>
      </w:r>
      <w:r w:rsidRPr="004E17B6">
        <w:t>pusmetis pasižymėj</w:t>
      </w:r>
      <w:r w:rsidR="00DC1D49">
        <w:t>o</w:t>
      </w:r>
      <w:r w:rsidRPr="004E17B6">
        <w:t xml:space="preserve"> neapibrėžtumu</w:t>
      </w:r>
      <w:r>
        <w:t xml:space="preserve">, taip pat </w:t>
      </w:r>
      <w:r w:rsidR="00086554">
        <w:t xml:space="preserve">laikėsi gana </w:t>
      </w:r>
      <w:r w:rsidRPr="00D66793">
        <w:t>aukštas žaliavų kainų lygis</w:t>
      </w:r>
      <w:r>
        <w:t xml:space="preserve">. </w:t>
      </w:r>
      <w:r w:rsidRPr="004E17B6">
        <w:t>Nepaisant to, įgyvendinome svarbius strateginius projektus</w:t>
      </w:r>
      <w:r>
        <w:t>:</w:t>
      </w:r>
      <w:r w:rsidRPr="004E17B6">
        <w:t xml:space="preserve"> didinome veiklos efektyvumą</w:t>
      </w:r>
      <w:r>
        <w:t>,</w:t>
      </w:r>
      <w:r w:rsidRPr="004E17B6">
        <w:t xml:space="preserve"> stiprinome tarptautinę plėtrą – </w:t>
      </w:r>
      <w:r>
        <w:t>filial</w:t>
      </w:r>
      <w:r w:rsidR="003D3EAF">
        <w:t>ų</w:t>
      </w:r>
      <w:r>
        <w:t xml:space="preserve"> </w:t>
      </w:r>
      <w:r w:rsidR="003D3EAF">
        <w:t xml:space="preserve">sąrašą </w:t>
      </w:r>
      <w:r>
        <w:t xml:space="preserve">papildė </w:t>
      </w:r>
      <w:r>
        <w:t>du nauj</w:t>
      </w:r>
      <w:r>
        <w:t>i</w:t>
      </w:r>
      <w:r w:rsidR="00CC3303">
        <w:t>:</w:t>
      </w:r>
      <w:r w:rsidRPr="004E17B6">
        <w:t xml:space="preserve"> </w:t>
      </w:r>
      <w:r w:rsidRPr="004E17B6">
        <w:t>Lenkijoje ir Nyderlanduose, taip pat paleidome antrąją automatizuotą įdar</w:t>
      </w:r>
      <w:r w:rsidR="003D3EAF">
        <w:t>yto</w:t>
      </w:r>
      <w:r w:rsidRPr="004E17B6">
        <w:t xml:space="preserve"> </w:t>
      </w:r>
      <w:r w:rsidR="00055BE2">
        <w:t xml:space="preserve">prancūziško batono </w:t>
      </w:r>
      <w:r w:rsidRPr="004E17B6">
        <w:t xml:space="preserve">liniją“, – sako Martynas Mykolaitis, „Mantinga Group“ valdybos narys ir finansų </w:t>
      </w:r>
      <w:r w:rsidR="001E1531">
        <w:t>vadova</w:t>
      </w:r>
      <w:r w:rsidRPr="004E17B6">
        <w:t>s.</w:t>
      </w:r>
    </w:p>
    <w:p w14:paraId="34723E3E" w14:textId="77777777" w:rsidR="00DA04C1" w:rsidRDefault="00DA04C1" w:rsidP="00DA04C1">
      <w:pPr>
        <w:jc w:val="both"/>
      </w:pPr>
      <w:r>
        <w:br/>
        <w:t xml:space="preserve">Įmonės atstovas </w:t>
      </w:r>
      <w:r w:rsidRPr="004E17B6">
        <w:t>2026 m. pradži</w:t>
      </w:r>
      <w:r>
        <w:t>ą</w:t>
      </w:r>
      <w:r w:rsidRPr="004E17B6">
        <w:t xml:space="preserve"> vertina pozityviai, tačiau </w:t>
      </w:r>
      <w:r>
        <w:t xml:space="preserve">neslepia, kad </w:t>
      </w:r>
      <w:r w:rsidRPr="00501A1C">
        <w:t>neramumai Artimųjų Rytų regione</w:t>
      </w:r>
      <w:r>
        <w:t xml:space="preserve"> skatina </w:t>
      </w:r>
      <w:r w:rsidRPr="00501A1C">
        <w:t>iš anksto ruoštis dar vienam padidėjusio neapibrėžtumo etapui.</w:t>
      </w:r>
      <w:r>
        <w:t xml:space="preserve"> </w:t>
      </w:r>
    </w:p>
    <w:p w14:paraId="01B491F2" w14:textId="4916AD4A" w:rsidR="00DA04C1" w:rsidRPr="00DA04C1" w:rsidRDefault="00DA04C1" w:rsidP="00DA04C1">
      <w:pPr>
        <w:jc w:val="both"/>
      </w:pPr>
      <w:r>
        <w:br/>
      </w:r>
      <w:r w:rsidRPr="004E17B6">
        <w:rPr>
          <w:b/>
          <w:bCs/>
        </w:rPr>
        <w:t>Plėtra ir efektyvumas – pagrindiniai prioritetai</w:t>
      </w:r>
    </w:p>
    <w:p w14:paraId="095A943E" w14:textId="0602CFE8" w:rsidR="00DA04C1" w:rsidRPr="004E17B6" w:rsidRDefault="00DA04C1" w:rsidP="00DA04C1">
      <w:pPr>
        <w:jc w:val="both"/>
      </w:pPr>
    </w:p>
    <w:p w14:paraId="72F5B855" w14:textId="6F23E63B" w:rsidR="00DA04C1" w:rsidRPr="004E17B6" w:rsidRDefault="00DA04C1" w:rsidP="00DA04C1">
      <w:pPr>
        <w:jc w:val="both"/>
      </w:pPr>
      <w:r w:rsidRPr="004E17B6">
        <w:t xml:space="preserve">Pernai grupė </w:t>
      </w:r>
      <w:r>
        <w:t xml:space="preserve">iš viso </w:t>
      </w:r>
      <w:r w:rsidRPr="004E17B6">
        <w:t>investavo 27,4 mln. Eur. Dalis</w:t>
      </w:r>
      <w:r>
        <w:t xml:space="preserve"> šių lėšų</w:t>
      </w:r>
      <w:r w:rsidRPr="004E17B6">
        <w:t xml:space="preserve"> </w:t>
      </w:r>
      <w:r w:rsidR="00BA3949">
        <w:t xml:space="preserve">buvo </w:t>
      </w:r>
      <w:r w:rsidRPr="004E17B6">
        <w:t xml:space="preserve">skirta tarptautinei plėtrai – </w:t>
      </w:r>
      <w:r>
        <w:t>nauji</w:t>
      </w:r>
      <w:r w:rsidRPr="004E17B6">
        <w:t xml:space="preserve"> filialai Lenkijoje ir Nyderlanduose</w:t>
      </w:r>
      <w:r>
        <w:t xml:space="preserve"> </w:t>
      </w:r>
      <w:r w:rsidRPr="004E17B6">
        <w:t>stiprin</w:t>
      </w:r>
      <w:r>
        <w:t>s</w:t>
      </w:r>
      <w:r w:rsidRPr="004E17B6">
        <w:t xml:space="preserve"> pozicijas </w:t>
      </w:r>
      <w:r>
        <w:t xml:space="preserve">Centrinėje ir Vakarų </w:t>
      </w:r>
      <w:r w:rsidRPr="004E17B6">
        <w:t xml:space="preserve">Europoje. </w:t>
      </w:r>
      <w:r>
        <w:t xml:space="preserve">Prie tarptautiškumo stiprinimo prisidėjo ir </w:t>
      </w:r>
      <w:r w:rsidRPr="004E17B6">
        <w:t>tarptautinių valdysenos standartų</w:t>
      </w:r>
      <w:r>
        <w:t xml:space="preserve"> įsivedimas: 2024 m. pereita prie finansinės atskaitomybės </w:t>
      </w:r>
      <w:r w:rsidRPr="004033F4">
        <w:t>TFAS</w:t>
      </w:r>
      <w:r>
        <w:t xml:space="preserve"> standarto, o </w:t>
      </w:r>
      <w:r w:rsidRPr="004033F4">
        <w:t>2025 m. spal</w:t>
      </w:r>
      <w:r>
        <w:t xml:space="preserve">į </w:t>
      </w:r>
      <w:r w:rsidRPr="004033F4">
        <w:t>oficialiai patvirtinta Grupės Finansinės rizikos valdymo politika, nustatanti vieningą, tarptautiniais standartais (COSO ERM, ISO 31000) paremtą finansinių rizikų valdymo sistemą visose Grupės įmonėse.</w:t>
      </w:r>
      <w:r>
        <w:t xml:space="preserve"> </w:t>
      </w:r>
      <w:r>
        <w:br/>
      </w:r>
    </w:p>
    <w:p w14:paraId="44A9342C" w14:textId="7B263669" w:rsidR="00DA04C1" w:rsidRDefault="00DA04C1" w:rsidP="00DA04C1">
      <w:pPr>
        <w:jc w:val="both"/>
      </w:pPr>
      <w:r w:rsidRPr="004E17B6">
        <w:t>Reikšminga</w:t>
      </w:r>
      <w:r>
        <w:t xml:space="preserve"> įmonės</w:t>
      </w:r>
      <w:r w:rsidRPr="004E17B6">
        <w:t xml:space="preserve"> investicija – </w:t>
      </w:r>
      <w:r>
        <w:t xml:space="preserve">įrengta </w:t>
      </w:r>
      <w:r w:rsidRPr="004E17B6">
        <w:t>antroji automatizuota įdar</w:t>
      </w:r>
      <w:r w:rsidR="001E1531">
        <w:t xml:space="preserve">yto </w:t>
      </w:r>
      <w:r w:rsidR="000C3FE3">
        <w:t>prancūziško batono</w:t>
      </w:r>
      <w:r w:rsidR="000C3FE3" w:rsidRPr="004E17B6">
        <w:t xml:space="preserve"> </w:t>
      </w:r>
      <w:r w:rsidRPr="004E17B6">
        <w:t>linija</w:t>
      </w:r>
      <w:r>
        <w:t xml:space="preserve">. Ji leis gaminti dar </w:t>
      </w:r>
      <w:r w:rsidRPr="007A6FE2">
        <w:t>kokybiš</w:t>
      </w:r>
      <w:r>
        <w:t>kiau ir tvariau</w:t>
      </w:r>
      <w:r w:rsidRPr="007A6FE2">
        <w:t xml:space="preserve">, </w:t>
      </w:r>
      <w:r>
        <w:t>plėsti</w:t>
      </w:r>
      <w:r w:rsidRPr="007A6FE2">
        <w:t xml:space="preserve"> asortimentą, </w:t>
      </w:r>
      <w:r>
        <w:t xml:space="preserve">o </w:t>
      </w:r>
      <w:r w:rsidRPr="007A6FE2">
        <w:t xml:space="preserve">taip pat </w:t>
      </w:r>
      <w:r>
        <w:t xml:space="preserve">ir </w:t>
      </w:r>
      <w:r w:rsidRPr="007A6FE2">
        <w:t>padvigubin</w:t>
      </w:r>
      <w:r>
        <w:t xml:space="preserve">ti </w:t>
      </w:r>
      <w:r w:rsidRPr="007A6FE2">
        <w:t>šios produkcijos </w:t>
      </w:r>
      <w:r>
        <w:t xml:space="preserve">našumą. </w:t>
      </w:r>
      <w:r w:rsidRPr="004E17B6">
        <w:t>Kartu</w:t>
      </w:r>
      <w:r>
        <w:t xml:space="preserve"> su </w:t>
      </w:r>
      <w:r w:rsidR="004710FE">
        <w:t xml:space="preserve">naujosios </w:t>
      </w:r>
      <w:r>
        <w:t>linijos paleidimu</w:t>
      </w:r>
      <w:r w:rsidRPr="004E17B6">
        <w:t xml:space="preserve"> </w:t>
      </w:r>
      <w:r>
        <w:t>pradėti</w:t>
      </w:r>
      <w:r w:rsidRPr="004E17B6">
        <w:t xml:space="preserve"> ir kiti </w:t>
      </w:r>
      <w:r>
        <w:t xml:space="preserve">toje pačioje gamykloje esančių linijų </w:t>
      </w:r>
      <w:r w:rsidRPr="004E17B6">
        <w:t>automatizavimo bei infrastruktūros gerinimo sprendimai.</w:t>
      </w:r>
    </w:p>
    <w:p w14:paraId="3588830E" w14:textId="147425A7" w:rsidR="00DA04C1" w:rsidRDefault="00DA04C1" w:rsidP="00DA04C1">
      <w:pPr>
        <w:jc w:val="both"/>
      </w:pPr>
      <w:r>
        <w:br/>
      </w:r>
      <w:r w:rsidR="00584CC4" w:rsidRPr="004E17B6">
        <w:t>D</w:t>
      </w:r>
      <w:r w:rsidR="00584CC4">
        <w:t xml:space="preserve">aug </w:t>
      </w:r>
      <w:r w:rsidRPr="004E17B6">
        <w:t>dėmes</w:t>
      </w:r>
      <w:r w:rsidR="00584CC4">
        <w:t>io</w:t>
      </w:r>
      <w:r w:rsidRPr="004E17B6">
        <w:t xml:space="preserve"> </w:t>
      </w:r>
      <w:r>
        <w:t xml:space="preserve">įmonėje </w:t>
      </w:r>
      <w:r w:rsidR="004710FE">
        <w:t xml:space="preserve">pernai buvo </w:t>
      </w:r>
      <w:r w:rsidRPr="004E17B6">
        <w:t xml:space="preserve">skirta </w:t>
      </w:r>
      <w:r w:rsidR="00584CC4">
        <w:t xml:space="preserve">ir </w:t>
      </w:r>
      <w:r w:rsidRPr="004E17B6">
        <w:t>veiklos efektyvum</w:t>
      </w:r>
      <w:r>
        <w:t xml:space="preserve">o didinimui. Šalia einamųjų procesų tobulinimo, </w:t>
      </w:r>
      <w:r w:rsidRPr="004E17B6">
        <w:t>per metus įgyvendinta apie 300 darbuotojų pasiūlytų inovacijų</w:t>
      </w:r>
      <w:r>
        <w:t xml:space="preserve">, </w:t>
      </w:r>
      <w:r w:rsidR="00AB448C">
        <w:t xml:space="preserve">sėkmingai prisidėjusių ir iki šiol </w:t>
      </w:r>
      <w:r>
        <w:t>prisideda</w:t>
      </w:r>
      <w:r w:rsidR="00AB448C">
        <w:t>nčių</w:t>
      </w:r>
      <w:r>
        <w:t xml:space="preserve"> prie </w:t>
      </w:r>
      <w:r w:rsidR="00871994">
        <w:t xml:space="preserve">didesnio </w:t>
      </w:r>
      <w:r>
        <w:t>efektyvumo.</w:t>
      </w:r>
      <w:r w:rsidRPr="004E17B6">
        <w:t xml:space="preserve"> </w:t>
      </w:r>
      <w:r>
        <w:t xml:space="preserve">Taip pat </w:t>
      </w:r>
      <w:r w:rsidRPr="004E17B6">
        <w:t xml:space="preserve">stiprinta </w:t>
      </w:r>
      <w:r>
        <w:t xml:space="preserve">grupės </w:t>
      </w:r>
      <w:r w:rsidRPr="004E17B6">
        <w:t>duomenų skaitmenizacija ir IT infrastruktūra</w:t>
      </w:r>
      <w:r>
        <w:t xml:space="preserve">, verslo valdymo sistema – atsisakyta rankinių procesų. </w:t>
      </w:r>
    </w:p>
    <w:p w14:paraId="34B33EBD" w14:textId="77777777" w:rsidR="00DA04C1" w:rsidRPr="004E17B6" w:rsidRDefault="00DA04C1" w:rsidP="00DA04C1">
      <w:pPr>
        <w:jc w:val="both"/>
      </w:pPr>
    </w:p>
    <w:p w14:paraId="64F36A66" w14:textId="77777777" w:rsidR="00DA04C1" w:rsidRDefault="00DA04C1" w:rsidP="00DA04C1">
      <w:pPr>
        <w:jc w:val="both"/>
        <w:rPr>
          <w:b/>
          <w:bCs/>
        </w:rPr>
      </w:pPr>
      <w:r w:rsidRPr="004E17B6">
        <w:rPr>
          <w:b/>
          <w:bCs/>
        </w:rPr>
        <w:t>Investicijos tęsis ir 2026 m.</w:t>
      </w:r>
    </w:p>
    <w:p w14:paraId="51187B50" w14:textId="5B7A9A39" w:rsidR="00DA04C1" w:rsidRPr="004E17B6" w:rsidRDefault="00DA04C1" w:rsidP="00DA04C1">
      <w:pPr>
        <w:jc w:val="both"/>
      </w:pPr>
    </w:p>
    <w:p w14:paraId="333F93FD" w14:textId="2E89A7E2" w:rsidR="00DA04C1" w:rsidRDefault="00DA04C1" w:rsidP="00DA04C1">
      <w:pPr>
        <w:jc w:val="both"/>
      </w:pPr>
      <w:r w:rsidRPr="004E17B6">
        <w:t>Šiemet įmonė planuoja toliau didinti efektyvumą, plėsti veiklą užsienio rinkose ir investuoti į gamyb</w:t>
      </w:r>
      <w:r>
        <w:t>os plėtrą.</w:t>
      </w:r>
      <w:r w:rsidRPr="004E17B6">
        <w:t xml:space="preserve"> </w:t>
      </w:r>
      <w:r>
        <w:t xml:space="preserve">Čia ryškiu projektu taps investicijos į </w:t>
      </w:r>
      <w:r w:rsidRPr="004E17B6">
        <w:t>nauj</w:t>
      </w:r>
      <w:r>
        <w:t>ą</w:t>
      </w:r>
      <w:r w:rsidRPr="004E17B6">
        <w:t xml:space="preserve"> atvėsintų produktų gamyklą Marijampolėje.</w:t>
      </w:r>
      <w:r>
        <w:t xml:space="preserve"> </w:t>
      </w:r>
      <w:r w:rsidR="0081722B">
        <w:t>V</w:t>
      </w:r>
      <w:r w:rsidRPr="004E17B6">
        <w:t>ien</w:t>
      </w:r>
      <w:r w:rsidR="0081722B">
        <w:t>u</w:t>
      </w:r>
      <w:r w:rsidRPr="004E17B6">
        <w:t xml:space="preserve"> svarbiausių </w:t>
      </w:r>
      <w:r w:rsidR="0081722B">
        <w:t xml:space="preserve">prioritetų šiemet bus ir </w:t>
      </w:r>
      <w:r w:rsidRPr="004E17B6">
        <w:t>klientų patirties gerinimas</w:t>
      </w:r>
      <w:r>
        <w:t>, kuris apims veiksmus nuo vidinės kultūros stiprinimo iki realių procesų keitimo</w:t>
      </w:r>
      <w:r w:rsidRPr="004E17B6">
        <w:t>.</w:t>
      </w:r>
      <w:r>
        <w:br/>
      </w:r>
      <w:r>
        <w:br/>
      </w:r>
      <w:r w:rsidR="00906560">
        <w:t>2026 m. l</w:t>
      </w:r>
      <w:r>
        <w:t xml:space="preserve">iepą įmonė </w:t>
      </w:r>
      <w:r w:rsidRPr="004033F4">
        <w:t>planuoja paskelbti pilną 2025 metų tvarumo ataskaitą, parengtą pagal CSRD (Įmonių tvarumo atskaitomybės direktyvos) ir ESRS (Europos darnumo ataskaitų teikimo standarto) reikalavimus.</w:t>
      </w:r>
      <w:r>
        <w:t xml:space="preserve"> Aktyviai ruošiamasi ir </w:t>
      </w:r>
      <w:r w:rsidRPr="004033F4">
        <w:t>2027 metų teisės aktuose numatytiems reikalavimams.</w:t>
      </w:r>
      <w:r>
        <w:t xml:space="preserve"> </w:t>
      </w:r>
      <w:r>
        <w:br/>
      </w:r>
    </w:p>
    <w:p w14:paraId="291D2847" w14:textId="77777777" w:rsidR="00DA04C1" w:rsidRPr="004E17B6" w:rsidRDefault="00DA04C1" w:rsidP="00DA04C1">
      <w:pPr>
        <w:jc w:val="both"/>
      </w:pPr>
      <w:r w:rsidRPr="004033F4">
        <w:rPr>
          <w:i/>
          <w:iCs/>
        </w:rPr>
        <w:t>„Mantinga“ įmonių grupę sudaro: UAB „Mantinga Group“, UAB „Mantinga Production“, UAB „Mantinga Bakery &amp; Food solutions“, UAB „Mantinga Logistics“, UAB „Mantinga Services“, SIA „Mantinga Latvia“, SIA „Fresh Food production“, „Mantinga Eesti“ OU, TOV „Mantinga Ukraina“ ir naujos prekybinės įmonės - įsteigta Lenkijoje Mantinga Sp. z o.o. ir įsigyta Nyderlanduose Mantinga B.V.</w:t>
      </w:r>
    </w:p>
    <w:p w14:paraId="0C260178" w14:textId="77777777" w:rsidR="00C8766A" w:rsidRPr="008C490B" w:rsidRDefault="00C8766A" w:rsidP="00183742">
      <w:pPr>
        <w:rPr>
          <w:rFonts w:ascii="Calibri" w:hAnsi="Calibri" w:cs="Calibri"/>
          <w:bCs/>
          <w:noProof/>
          <w:sz w:val="22"/>
          <w:szCs w:val="22"/>
        </w:rPr>
      </w:pPr>
    </w:p>
    <w:p w14:paraId="34BEE80C" w14:textId="77777777" w:rsidR="00183742" w:rsidRPr="00224B92" w:rsidRDefault="00183742" w:rsidP="00183742">
      <w:pPr>
        <w:rPr>
          <w:rFonts w:cstheme="minorHAnsi"/>
          <w:bCs/>
          <w:noProof/>
          <w:sz w:val="20"/>
        </w:rPr>
      </w:pPr>
    </w:p>
    <w:p w14:paraId="30B19C34" w14:textId="5FAE4831" w:rsidR="003414BA" w:rsidRDefault="003414BA" w:rsidP="471481FD">
      <w:pPr>
        <w:jc w:val="both"/>
        <w:rPr>
          <w:i/>
          <w:iCs/>
          <w:sz w:val="22"/>
          <w:szCs w:val="22"/>
        </w:rPr>
      </w:pPr>
    </w:p>
    <w:sectPr w:rsidR="003414BA" w:rsidSect="00ED6DA3">
      <w:headerReference w:type="default" r:id="rId9"/>
      <w:footerReference w:type="default" r:id="rId10"/>
      <w:pgSz w:w="11906" w:h="16838"/>
      <w:pgMar w:top="1440" w:right="1440" w:bottom="1440" w:left="1440" w:header="33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BAB6" w14:textId="77777777" w:rsidR="00F02CE2" w:rsidRDefault="00F02CE2" w:rsidP="005A04AF">
      <w:r>
        <w:separator/>
      </w:r>
    </w:p>
  </w:endnote>
  <w:endnote w:type="continuationSeparator" w:id="0">
    <w:p w14:paraId="3E185420" w14:textId="77777777" w:rsidR="00F02CE2" w:rsidRDefault="00F02CE2" w:rsidP="005A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ook w:val="01C0" w:firstRow="0" w:lastRow="1" w:firstColumn="1" w:lastColumn="1" w:noHBand="0" w:noVBand="0"/>
    </w:tblPr>
    <w:tblGrid>
      <w:gridCol w:w="2505"/>
      <w:gridCol w:w="1541"/>
      <w:gridCol w:w="3027"/>
      <w:gridCol w:w="2283"/>
    </w:tblGrid>
    <w:tr w:rsidR="006B7D38" w:rsidRPr="00C722EB" w14:paraId="728F8CA2" w14:textId="77777777" w:rsidTr="73672CDB">
      <w:trPr>
        <w:trHeight w:val="238"/>
      </w:trPr>
      <w:tc>
        <w:tcPr>
          <w:tcW w:w="2505" w:type="dxa"/>
        </w:tcPr>
        <w:p w14:paraId="204B94B5" w14:textId="78CB9C91" w:rsidR="006B7D38" w:rsidRPr="00C722EB" w:rsidRDefault="006B7D38" w:rsidP="006B7D38">
          <w:pPr>
            <w:pStyle w:val="Footer"/>
            <w:ind w:left="-111" w:right="360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1541" w:type="dxa"/>
        </w:tcPr>
        <w:p w14:paraId="0E949EF3" w14:textId="7B1D2CBD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3027" w:type="dxa"/>
        </w:tcPr>
        <w:p w14:paraId="76A296C8" w14:textId="2FF583DD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2283" w:type="dxa"/>
        </w:tcPr>
        <w:p w14:paraId="567F73EF" w14:textId="5A9B6010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</w:tr>
    <w:tr w:rsidR="00D15E57" w:rsidRPr="00C722EB" w14:paraId="56A102C6" w14:textId="77777777" w:rsidTr="73672CDB">
      <w:trPr>
        <w:trHeight w:val="238"/>
      </w:trPr>
      <w:tc>
        <w:tcPr>
          <w:tcW w:w="2505" w:type="dxa"/>
        </w:tcPr>
        <w:p w14:paraId="242558E3" w14:textId="77777777" w:rsidR="00D15E57" w:rsidRPr="00C722EB" w:rsidRDefault="00D15E57" w:rsidP="006B7D38">
          <w:pPr>
            <w:pStyle w:val="Footer"/>
            <w:ind w:left="-111" w:right="360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1541" w:type="dxa"/>
        </w:tcPr>
        <w:p w14:paraId="47CFC765" w14:textId="77777777" w:rsidR="00D15E57" w:rsidRPr="00C722EB" w:rsidRDefault="00D15E57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3027" w:type="dxa"/>
        </w:tcPr>
        <w:p w14:paraId="092139BF" w14:textId="77777777" w:rsidR="00D15E57" w:rsidRPr="00C722EB" w:rsidRDefault="00D15E57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2283" w:type="dxa"/>
        </w:tcPr>
        <w:p w14:paraId="5AB115DF" w14:textId="77777777" w:rsidR="00D15E57" w:rsidRPr="00C722EB" w:rsidRDefault="00D15E57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</w:tr>
    <w:tr w:rsidR="006B7D38" w:rsidRPr="00C722EB" w14:paraId="0593BE31" w14:textId="77777777" w:rsidTr="73672CDB">
      <w:trPr>
        <w:trHeight w:val="238"/>
      </w:trPr>
      <w:tc>
        <w:tcPr>
          <w:tcW w:w="2505" w:type="dxa"/>
        </w:tcPr>
        <w:p w14:paraId="081329E0" w14:textId="61120520" w:rsidR="006B7D38" w:rsidRPr="002404EB" w:rsidRDefault="73672CDB" w:rsidP="006B7D38">
          <w:pPr>
            <w:pStyle w:val="Footer"/>
            <w:ind w:left="-111"/>
            <w:rPr>
              <w:rFonts w:ascii="Calibri" w:hAnsi="Calibri"/>
              <w:color w:val="7F7F7F" w:themeColor="text1" w:themeTint="80"/>
              <w:sz w:val="22"/>
              <w:szCs w:val="22"/>
              <w:lang w:val="fi-FI"/>
            </w:rPr>
          </w:pPr>
          <w:r w:rsidRPr="73672CDB">
            <w:rPr>
              <w:rFonts w:ascii="Calibri" w:hAnsi="Calibri"/>
              <w:b/>
              <w:bCs/>
              <w:color w:val="595959" w:themeColor="text1" w:themeTint="A6"/>
              <w:sz w:val="22"/>
              <w:szCs w:val="22"/>
            </w:rPr>
            <w:t xml:space="preserve">Kontaktai: </w:t>
          </w:r>
          <w:r w:rsidR="00570C0E">
            <w:br/>
          </w:r>
          <w:r w:rsidRPr="73672CDB">
            <w:rPr>
              <w:rFonts w:ascii="Calibri" w:hAnsi="Calibri"/>
              <w:color w:val="595959" w:themeColor="text1" w:themeTint="A6"/>
              <w:sz w:val="22"/>
              <w:szCs w:val="22"/>
            </w:rPr>
            <w:t>Komunikacijos vadovė</w:t>
          </w:r>
          <w:r w:rsidR="00570C0E">
            <w:br/>
          </w:r>
          <w:r w:rsidRPr="73672CDB">
            <w:rPr>
              <w:rFonts w:ascii="Calibri" w:hAnsi="Calibri"/>
              <w:color w:val="595959" w:themeColor="text1" w:themeTint="A6"/>
              <w:sz w:val="22"/>
              <w:szCs w:val="22"/>
            </w:rPr>
            <w:t>Monika Pivoraitė</w:t>
          </w:r>
          <w:r w:rsidR="00570C0E">
            <w:br/>
          </w:r>
          <w:hyperlink r:id="rId1">
            <w:r w:rsidRPr="73672CDB">
              <w:rPr>
                <w:rStyle w:val="Hyperlink"/>
              </w:rPr>
              <w:t>mpivoraite</w:t>
            </w:r>
            <w:r w:rsidRPr="73672CDB">
              <w:rPr>
                <w:rStyle w:val="Hyperlink"/>
                <w:rFonts w:ascii="Calibri" w:hAnsi="Calibri"/>
                <w:sz w:val="22"/>
                <w:szCs w:val="22"/>
                <w:lang w:val="fi-FI"/>
              </w:rPr>
              <w:t>@mantinga.lt</w:t>
            </w:r>
          </w:hyperlink>
          <w:r w:rsidRPr="73672CDB">
            <w:rPr>
              <w:rFonts w:ascii="Calibri" w:hAnsi="Calibri"/>
              <w:color w:val="595959" w:themeColor="text1" w:themeTint="A6"/>
              <w:sz w:val="22"/>
              <w:szCs w:val="22"/>
              <w:lang w:val="fi-FI"/>
            </w:rPr>
            <w:t xml:space="preserve"> </w:t>
          </w:r>
          <w:r w:rsidR="00570C0E">
            <w:br/>
          </w:r>
          <w:r w:rsidRPr="73672CDB">
            <w:rPr>
              <w:rFonts w:ascii="Calibri" w:hAnsi="Calibri"/>
              <w:color w:val="595959" w:themeColor="text1" w:themeTint="A6"/>
              <w:sz w:val="22"/>
              <w:szCs w:val="22"/>
              <w:lang w:val="fi-FI"/>
            </w:rPr>
            <w:t>+370 687 86 967</w:t>
          </w:r>
        </w:p>
      </w:tc>
      <w:tc>
        <w:tcPr>
          <w:tcW w:w="1541" w:type="dxa"/>
        </w:tcPr>
        <w:p w14:paraId="623A3623" w14:textId="294A45DF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3027" w:type="dxa"/>
        </w:tcPr>
        <w:p w14:paraId="6E3BCCA8" w14:textId="78D07306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2283" w:type="dxa"/>
        </w:tcPr>
        <w:p w14:paraId="0727311C" w14:textId="3B89ED72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  <w:r w:rsidRPr="00C722EB">
            <w:rPr>
              <w:rFonts w:ascii="Calibri" w:hAnsi="Calibri"/>
              <w:noProof/>
              <w:color w:val="7F7F7F" w:themeColor="text1" w:themeTint="80"/>
              <w:sz w:val="16"/>
              <w:szCs w:val="16"/>
            </w:rPr>
            <w:drawing>
              <wp:anchor distT="0" distB="0" distL="114300" distR="114300" simplePos="0" relativeHeight="251669504" behindDoc="0" locked="0" layoutInCell="1" allowOverlap="1" wp14:anchorId="68146F04" wp14:editId="65031EB0">
                <wp:simplePos x="0" y="0"/>
                <wp:positionH relativeFrom="column">
                  <wp:posOffset>824865</wp:posOffset>
                </wp:positionH>
                <wp:positionV relativeFrom="paragraph">
                  <wp:posOffset>172085</wp:posOffset>
                </wp:positionV>
                <wp:extent cx="352425" cy="334010"/>
                <wp:effectExtent l="0" t="0" r="3175" b="0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1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8661" t="74416" r="18756" b="10457"/>
                        <a:stretch/>
                      </pic:blipFill>
                      <pic:spPr bwMode="auto">
                        <a:xfrm>
                          <a:off x="0" y="0"/>
                          <a:ext cx="352425" cy="3340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B7D38" w:rsidRPr="00C722EB" w14:paraId="739D152E" w14:textId="77777777" w:rsidTr="73672CDB">
      <w:trPr>
        <w:trHeight w:val="80"/>
      </w:trPr>
      <w:tc>
        <w:tcPr>
          <w:tcW w:w="2505" w:type="dxa"/>
        </w:tcPr>
        <w:p w14:paraId="1FE61260" w14:textId="466A67CE" w:rsidR="006B7D38" w:rsidRPr="00C722EB" w:rsidRDefault="006B7D38" w:rsidP="006B7D38">
          <w:pPr>
            <w:pStyle w:val="Footer"/>
            <w:ind w:left="-111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1541" w:type="dxa"/>
        </w:tcPr>
        <w:p w14:paraId="4F4B810C" w14:textId="35238D6E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  <w:tc>
        <w:tcPr>
          <w:tcW w:w="3027" w:type="dxa"/>
        </w:tcPr>
        <w:p w14:paraId="1EA28047" w14:textId="202F88AF" w:rsidR="006B7D38" w:rsidRPr="002404EB" w:rsidRDefault="006B7D38" w:rsidP="006B7D38">
          <w:pPr>
            <w:spacing w:after="200" w:line="276" w:lineRule="auto"/>
            <w:ind w:right="-252"/>
            <w:rPr>
              <w:rFonts w:ascii="Calibri" w:eastAsia="Calibri" w:hAnsi="Calibri"/>
              <w:color w:val="7F7F7F" w:themeColor="text1" w:themeTint="80"/>
              <w:sz w:val="16"/>
              <w:szCs w:val="16"/>
              <w:lang w:val="fi-FI"/>
            </w:rPr>
          </w:pPr>
        </w:p>
      </w:tc>
      <w:tc>
        <w:tcPr>
          <w:tcW w:w="2283" w:type="dxa"/>
        </w:tcPr>
        <w:p w14:paraId="5B1FF23E" w14:textId="1048D793" w:rsidR="006B7D38" w:rsidRPr="00C722EB" w:rsidRDefault="006B7D38" w:rsidP="006B7D38">
          <w:pPr>
            <w:pStyle w:val="Footer"/>
            <w:rPr>
              <w:rFonts w:ascii="Calibri" w:hAnsi="Calibri"/>
              <w:color w:val="7F7F7F" w:themeColor="text1" w:themeTint="80"/>
              <w:sz w:val="16"/>
              <w:szCs w:val="16"/>
            </w:rPr>
          </w:pPr>
        </w:p>
      </w:tc>
    </w:tr>
  </w:tbl>
  <w:p w14:paraId="3F6BAC45" w14:textId="14A29063" w:rsidR="00BC1584" w:rsidRPr="00C722EB" w:rsidRDefault="00BC1584">
    <w:pPr>
      <w:pStyle w:val="Footer"/>
      <w:rPr>
        <w:color w:val="7F7F7F" w:themeColor="text1" w:themeTint="80"/>
        <w:sz w:val="16"/>
        <w:szCs w:val="16"/>
      </w:rPr>
    </w:pPr>
  </w:p>
  <w:p w14:paraId="4E88BD4D" w14:textId="5AAB53AD" w:rsidR="003414BA" w:rsidRPr="00C722EB" w:rsidRDefault="003414BA">
    <w:pPr>
      <w:pStyle w:val="Footer"/>
      <w:rPr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6651" w14:textId="77777777" w:rsidR="00F02CE2" w:rsidRDefault="00F02CE2" w:rsidP="005A04AF">
      <w:r>
        <w:separator/>
      </w:r>
    </w:p>
  </w:footnote>
  <w:footnote w:type="continuationSeparator" w:id="0">
    <w:p w14:paraId="59133A47" w14:textId="77777777" w:rsidR="00F02CE2" w:rsidRDefault="00F02CE2" w:rsidP="005A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15D2" w14:textId="77777777" w:rsidR="003414BA" w:rsidRDefault="003414BA" w:rsidP="005A04AF">
    <w:pPr>
      <w:pStyle w:val="Header"/>
      <w:ind w:left="-709" w:firstLine="425"/>
    </w:pPr>
  </w:p>
  <w:p w14:paraId="56391C4E" w14:textId="77777777" w:rsidR="003414BA" w:rsidRDefault="003414BA" w:rsidP="005A04AF">
    <w:pPr>
      <w:pStyle w:val="Header"/>
      <w:ind w:left="-709" w:firstLine="425"/>
    </w:pPr>
  </w:p>
  <w:p w14:paraId="55456492" w14:textId="5796FB72" w:rsidR="005A04AF" w:rsidRDefault="005A04AF" w:rsidP="005A04AF">
    <w:pPr>
      <w:pStyle w:val="Header"/>
      <w:ind w:left="-709" w:firstLine="425"/>
    </w:pPr>
    <w:r>
      <w:rPr>
        <w:noProof/>
      </w:rPr>
      <w:drawing>
        <wp:inline distT="0" distB="0" distL="0" distR="0" wp14:anchorId="587B1EE5" wp14:editId="07EEFCB1">
          <wp:extent cx="1096154" cy="743578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105" t="18904" r="19490" b="21257"/>
                  <a:stretch/>
                </pic:blipFill>
                <pic:spPr bwMode="auto">
                  <a:xfrm>
                    <a:off x="0" y="0"/>
                    <a:ext cx="1223429" cy="8299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53E8E2" w14:textId="401A0AF5" w:rsidR="003414BA" w:rsidRDefault="003414BA" w:rsidP="005A04AF">
    <w:pPr>
      <w:pStyle w:val="Header"/>
      <w:ind w:left="-709" w:firstLine="425"/>
    </w:pPr>
  </w:p>
  <w:p w14:paraId="42231F36" w14:textId="77777777" w:rsidR="003414BA" w:rsidRDefault="003414BA" w:rsidP="005A04AF">
    <w:pPr>
      <w:pStyle w:val="Header"/>
      <w:ind w:left="-709" w:firstLine="42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AF"/>
    <w:rsid w:val="00013C0D"/>
    <w:rsid w:val="00055BE2"/>
    <w:rsid w:val="00086554"/>
    <w:rsid w:val="000954BF"/>
    <w:rsid w:val="000A4177"/>
    <w:rsid w:val="000C3CE7"/>
    <w:rsid w:val="000C3FE3"/>
    <w:rsid w:val="000C4677"/>
    <w:rsid w:val="00105A03"/>
    <w:rsid w:val="00122DF1"/>
    <w:rsid w:val="001662B7"/>
    <w:rsid w:val="00174689"/>
    <w:rsid w:val="001803CA"/>
    <w:rsid w:val="00181DF4"/>
    <w:rsid w:val="00183742"/>
    <w:rsid w:val="001C2F9E"/>
    <w:rsid w:val="001E1531"/>
    <w:rsid w:val="001E3B7D"/>
    <w:rsid w:val="00224B92"/>
    <w:rsid w:val="002404EB"/>
    <w:rsid w:val="00262ED1"/>
    <w:rsid w:val="002842B1"/>
    <w:rsid w:val="00294DB4"/>
    <w:rsid w:val="002A3BDF"/>
    <w:rsid w:val="002C1238"/>
    <w:rsid w:val="00313818"/>
    <w:rsid w:val="003414BA"/>
    <w:rsid w:val="00380538"/>
    <w:rsid w:val="00386E66"/>
    <w:rsid w:val="003D03E5"/>
    <w:rsid w:val="003D3EAF"/>
    <w:rsid w:val="003F6366"/>
    <w:rsid w:val="00406184"/>
    <w:rsid w:val="00415F2A"/>
    <w:rsid w:val="004710FE"/>
    <w:rsid w:val="004A3AE6"/>
    <w:rsid w:val="004C16E2"/>
    <w:rsid w:val="004E5FD6"/>
    <w:rsid w:val="00506442"/>
    <w:rsid w:val="00514293"/>
    <w:rsid w:val="0052694D"/>
    <w:rsid w:val="00563B91"/>
    <w:rsid w:val="00570C0E"/>
    <w:rsid w:val="00575176"/>
    <w:rsid w:val="00584CC4"/>
    <w:rsid w:val="00586792"/>
    <w:rsid w:val="005A04AF"/>
    <w:rsid w:val="005B2DB6"/>
    <w:rsid w:val="005B5F32"/>
    <w:rsid w:val="005E1560"/>
    <w:rsid w:val="00636897"/>
    <w:rsid w:val="00654F43"/>
    <w:rsid w:val="006B7D38"/>
    <w:rsid w:val="007034A9"/>
    <w:rsid w:val="00714624"/>
    <w:rsid w:val="007614DC"/>
    <w:rsid w:val="007A5FE4"/>
    <w:rsid w:val="007D04A6"/>
    <w:rsid w:val="007E65F3"/>
    <w:rsid w:val="00815706"/>
    <w:rsid w:val="00815FD1"/>
    <w:rsid w:val="0081722B"/>
    <w:rsid w:val="0085390A"/>
    <w:rsid w:val="00871994"/>
    <w:rsid w:val="00872C8C"/>
    <w:rsid w:val="00890AC5"/>
    <w:rsid w:val="008D4CC0"/>
    <w:rsid w:val="008E14D8"/>
    <w:rsid w:val="00906560"/>
    <w:rsid w:val="0092178C"/>
    <w:rsid w:val="00932B5E"/>
    <w:rsid w:val="0093780C"/>
    <w:rsid w:val="009544EB"/>
    <w:rsid w:val="009C59EF"/>
    <w:rsid w:val="00A109FE"/>
    <w:rsid w:val="00A240DA"/>
    <w:rsid w:val="00A3661D"/>
    <w:rsid w:val="00A51C70"/>
    <w:rsid w:val="00A57FDC"/>
    <w:rsid w:val="00A6520D"/>
    <w:rsid w:val="00AB448C"/>
    <w:rsid w:val="00AF075A"/>
    <w:rsid w:val="00B119FD"/>
    <w:rsid w:val="00B4360C"/>
    <w:rsid w:val="00BA3949"/>
    <w:rsid w:val="00BA7397"/>
    <w:rsid w:val="00BC1584"/>
    <w:rsid w:val="00C246C4"/>
    <w:rsid w:val="00C67D08"/>
    <w:rsid w:val="00C722EB"/>
    <w:rsid w:val="00C85004"/>
    <w:rsid w:val="00C8766A"/>
    <w:rsid w:val="00CA4977"/>
    <w:rsid w:val="00CC3303"/>
    <w:rsid w:val="00D15E57"/>
    <w:rsid w:val="00D25450"/>
    <w:rsid w:val="00D2760B"/>
    <w:rsid w:val="00D4121F"/>
    <w:rsid w:val="00D47BBF"/>
    <w:rsid w:val="00D47C20"/>
    <w:rsid w:val="00DA04C1"/>
    <w:rsid w:val="00DB23B1"/>
    <w:rsid w:val="00DC1D49"/>
    <w:rsid w:val="00DD2DB8"/>
    <w:rsid w:val="00DD45FD"/>
    <w:rsid w:val="00E90505"/>
    <w:rsid w:val="00EA136C"/>
    <w:rsid w:val="00EC53AE"/>
    <w:rsid w:val="00ED6DA3"/>
    <w:rsid w:val="00F02CE2"/>
    <w:rsid w:val="00F11572"/>
    <w:rsid w:val="00F413F8"/>
    <w:rsid w:val="00F866F4"/>
    <w:rsid w:val="00FA3079"/>
    <w:rsid w:val="00FA4131"/>
    <w:rsid w:val="00FA4301"/>
    <w:rsid w:val="00FC27D7"/>
    <w:rsid w:val="00FC45A5"/>
    <w:rsid w:val="00FE75EC"/>
    <w:rsid w:val="00FF33A0"/>
    <w:rsid w:val="00FF4EB3"/>
    <w:rsid w:val="0DD11921"/>
    <w:rsid w:val="33A7F44D"/>
    <w:rsid w:val="471481FD"/>
    <w:rsid w:val="59B25896"/>
    <w:rsid w:val="6F51DCC4"/>
    <w:rsid w:val="7367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B04A2"/>
  <w15:chartTrackingRefBased/>
  <w15:docId w15:val="{741695E8-15BB-9E4A-8D71-98A771C5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4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04AF"/>
  </w:style>
  <w:style w:type="paragraph" w:styleId="Footer">
    <w:name w:val="footer"/>
    <w:basedOn w:val="Normal"/>
    <w:link w:val="FooterChar"/>
    <w:uiPriority w:val="99"/>
    <w:unhideWhenUsed/>
    <w:rsid w:val="005A04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4AF"/>
  </w:style>
  <w:style w:type="character" w:styleId="Hyperlink">
    <w:name w:val="Hyperlink"/>
    <w:rsid w:val="005A04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40D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74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24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7BBF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7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450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45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0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mpuloke@manting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E34FD83A75F6E47AF5E212CF456315E" ma:contentTypeVersion="17" ma:contentTypeDescription="Kurkite naują dokumentą." ma:contentTypeScope="" ma:versionID="07c9c72bf69cb9d04e4ffbf190e7cd43">
  <xsd:schema xmlns:xsd="http://www.w3.org/2001/XMLSchema" xmlns:xs="http://www.w3.org/2001/XMLSchema" xmlns:p="http://schemas.microsoft.com/office/2006/metadata/properties" xmlns:ns2="bf1797b6-17b0-482b-b34e-b280f94e8bb6" xmlns:ns3="fe8ba2ff-e4b6-49b9-b943-5156046933a5" targetNamespace="http://schemas.microsoft.com/office/2006/metadata/properties" ma:root="true" ma:fieldsID="8414b9efceaf8386f26efadc8d6a8512" ns2:_="" ns3:_="">
    <xsd:import namespace="bf1797b6-17b0-482b-b34e-b280f94e8bb6"/>
    <xsd:import namespace="fe8ba2ff-e4b6-49b9-b943-51560469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1797b6-17b0-482b-b34e-b280f94e8b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feede4e-e805-4d5c-a60e-85adbb28899b}" ma:internalName="TaxCatchAll" ma:showField="CatchAllData" ma:web="bf1797b6-17b0-482b-b34e-b280f94e8b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ba2ff-e4b6-49b9-b943-51560469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875c4c2e-9fa1-41cf-9487-1f2bae043c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8ba2ff-e4b6-49b9-b943-5156046933a5">
      <Terms xmlns="http://schemas.microsoft.com/office/infopath/2007/PartnerControls"/>
    </lcf76f155ced4ddcb4097134ff3c332f>
    <TaxCatchAll xmlns="bf1797b6-17b0-482b-b34e-b280f94e8b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020B6-7E0B-4AAA-80C7-A2A92AC29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1797b6-17b0-482b-b34e-b280f94e8bb6"/>
    <ds:schemaRef ds:uri="fe8ba2ff-e4b6-49b9-b943-5156046933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80FEA-2F93-45EF-99C6-17ECEED6A15B}">
  <ds:schemaRefs>
    <ds:schemaRef ds:uri="http://schemas.microsoft.com/office/2006/metadata/properties"/>
    <ds:schemaRef ds:uri="http://schemas.microsoft.com/office/infopath/2007/PartnerControls"/>
    <ds:schemaRef ds:uri="fe8ba2ff-e4b6-49b9-b943-5156046933a5"/>
    <ds:schemaRef ds:uri="bf1797b6-17b0-482b-b34e-b280f94e8bb6"/>
  </ds:schemaRefs>
</ds:datastoreItem>
</file>

<file path=customXml/itemProps3.xml><?xml version="1.0" encoding="utf-8"?>
<ds:datastoreItem xmlns:ds="http://schemas.openxmlformats.org/officeDocument/2006/customXml" ds:itemID="{005B6663-6830-4D45-BCBE-F1062871D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2238</Words>
  <Characters>1277</Characters>
  <Application>Microsoft Office Word</Application>
  <DocSecurity>0</DocSecurity>
  <Lines>10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Ratkevičė</dc:creator>
  <cp:keywords/>
  <dc:description/>
  <cp:lastModifiedBy>Rolandas Kajokas</cp:lastModifiedBy>
  <cp:revision>98</cp:revision>
  <cp:lastPrinted>2022-02-02T08:38:00Z</cp:lastPrinted>
  <dcterms:created xsi:type="dcterms:W3CDTF">2022-02-02T08:34:00Z</dcterms:created>
  <dcterms:modified xsi:type="dcterms:W3CDTF">2026-04-30T05:08:00Z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0x010100BE34FD83A75F6E47AF5E212CF456315E</vt:lpwstr>
  </property>
  <property fmtid="{D5CDD505-2E9C-101B-9397-08002B2CF9AE}" pid="3" name="MediaServiceImageTags">
    <vt:lpwstr/>
  </property>
  <property fmtid="{D5CDD505-2E9C-101B-9397-08002B2CF9AE}" pid="4" name="Order">
    <vt:r8>1800</vt:r8>
  </property>
</Properties>
</file>