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37F31" w14:textId="03937E5A" w:rsidR="00400E54" w:rsidRDefault="00000000">
      <w:pPr>
        <w:rPr>
          <w:rFonts w:ascii="Inter" w:eastAsia="Inter" w:hAnsi="Inter" w:cs="Inter"/>
          <w:color w:val="666666"/>
          <w:sz w:val="20"/>
          <w:szCs w:val="20"/>
        </w:rPr>
      </w:pPr>
      <w:r>
        <w:rPr>
          <w:rFonts w:ascii="Inter" w:eastAsia="Inter" w:hAnsi="Inter" w:cs="Inter"/>
          <w:color w:val="666666"/>
          <w:sz w:val="20"/>
          <w:szCs w:val="20"/>
        </w:rPr>
        <w:t xml:space="preserve">2026 m. gegužės </w:t>
      </w:r>
      <w:r w:rsidR="00973891">
        <w:rPr>
          <w:rFonts w:ascii="Inter" w:eastAsia="Inter" w:hAnsi="Inter" w:cs="Inter"/>
          <w:color w:val="666666"/>
          <w:sz w:val="20"/>
          <w:szCs w:val="20"/>
        </w:rPr>
        <w:t>6</w:t>
      </w:r>
      <w:r>
        <w:rPr>
          <w:rFonts w:ascii="Inter" w:eastAsia="Inter" w:hAnsi="Inter" w:cs="Inter"/>
          <w:color w:val="666666"/>
          <w:sz w:val="20"/>
          <w:szCs w:val="20"/>
        </w:rPr>
        <w:t xml:space="preserve"> d. </w:t>
      </w:r>
    </w:p>
    <w:p w14:paraId="5FB21B54" w14:textId="77777777" w:rsidR="00400E54" w:rsidRDefault="00400E54">
      <w:pPr>
        <w:rPr>
          <w:rFonts w:ascii="Inter Medium" w:eastAsia="Inter Medium" w:hAnsi="Inter Medium" w:cs="Inter Medium"/>
          <w:color w:val="434343"/>
          <w:sz w:val="32"/>
          <w:szCs w:val="32"/>
        </w:rPr>
      </w:pPr>
    </w:p>
    <w:p w14:paraId="4ECF5B3A" w14:textId="77777777" w:rsidR="00400E54" w:rsidRPr="009D7ADD" w:rsidRDefault="00000000" w:rsidP="009D7ADD">
      <w:pPr>
        <w:jc w:val="center"/>
        <w:rPr>
          <w:rFonts w:ascii="Inter Medium" w:eastAsia="Inter Medium" w:hAnsi="Inter Medium" w:cs="Inter Medium"/>
          <w:b/>
          <w:bCs/>
          <w:color w:val="434343"/>
          <w:sz w:val="32"/>
          <w:szCs w:val="32"/>
        </w:rPr>
      </w:pPr>
      <w:r w:rsidRPr="009D7ADD">
        <w:rPr>
          <w:rFonts w:ascii="Inter Medium" w:eastAsia="Inter Medium" w:hAnsi="Inter Medium" w:cs="Inter Medium"/>
          <w:b/>
          <w:bCs/>
          <w:color w:val="434343"/>
          <w:sz w:val="32"/>
          <w:szCs w:val="32"/>
        </w:rPr>
        <w:t>„Mintos“ skelbia 2025 m. rezultatus: beveik 800 mln. eurų valdomo turto ir pasirengimas ECB paraiškai</w:t>
      </w:r>
    </w:p>
    <w:p w14:paraId="03EBA7A0" w14:textId="77777777" w:rsidR="00400E54" w:rsidRDefault="00000000" w:rsidP="009D7ADD">
      <w:pPr>
        <w:spacing w:before="240" w:after="240"/>
        <w:jc w:val="both"/>
        <w:rPr>
          <w:rFonts w:ascii="Inter" w:eastAsia="Inter" w:hAnsi="Inter" w:cs="Inter"/>
        </w:rPr>
      </w:pPr>
      <w:r>
        <w:rPr>
          <w:rFonts w:ascii="Inter" w:eastAsia="Inter" w:hAnsi="Inter" w:cs="Inter"/>
        </w:rPr>
        <w:t>Europos investavimo platforma „Mintos“ paskelbė 2025 m. finansinius rezultatus. Pernai „Mintos“ valdomo turto vertė priartėjo prie 800 mln. eurų ir per metus išaugo beveik penktadaliu (19 proc.), o registruotų investuotojų skaičius beveik pasiekė 660 tūkstančių.</w:t>
      </w:r>
    </w:p>
    <w:p w14:paraId="028A59A7" w14:textId="688637C9" w:rsidR="00400E54" w:rsidRDefault="00000000" w:rsidP="009D7ADD">
      <w:pPr>
        <w:spacing w:before="240" w:after="240"/>
        <w:jc w:val="both"/>
        <w:rPr>
          <w:rFonts w:ascii="Inter" w:eastAsia="Inter" w:hAnsi="Inter" w:cs="Inter"/>
        </w:rPr>
      </w:pPr>
      <w:r>
        <w:rPr>
          <w:rFonts w:ascii="Inter" w:eastAsia="Inter" w:hAnsi="Inter" w:cs="Inter"/>
        </w:rPr>
        <w:t xml:space="preserve">Bendrovės pajamos 2025 m. siekė 14,1 mln. eurų ir buvo 17 proc. didesnės nei prieš metus. „Mintos“ vadovo ir vieno iš įkūrėjų </w:t>
      </w:r>
      <w:proofErr w:type="spellStart"/>
      <w:r>
        <w:rPr>
          <w:rFonts w:ascii="Inter" w:eastAsia="Inter" w:hAnsi="Inter" w:cs="Inter"/>
        </w:rPr>
        <w:t>Martins</w:t>
      </w:r>
      <w:proofErr w:type="spellEnd"/>
      <w:r>
        <w:rPr>
          <w:rFonts w:ascii="Inter" w:eastAsia="Inter" w:hAnsi="Inter" w:cs="Inter"/>
        </w:rPr>
        <w:t xml:space="preserve"> </w:t>
      </w:r>
      <w:proofErr w:type="spellStart"/>
      <w:r>
        <w:rPr>
          <w:rFonts w:ascii="Inter" w:eastAsia="Inter" w:hAnsi="Inter" w:cs="Inter"/>
        </w:rPr>
        <w:t>Sulte</w:t>
      </w:r>
      <w:proofErr w:type="spellEnd"/>
      <w:r>
        <w:rPr>
          <w:rFonts w:ascii="Inter" w:eastAsia="Inter" w:hAnsi="Inter" w:cs="Inter"/>
        </w:rPr>
        <w:t xml:space="preserve"> teigimu, augimą lydėjo tolesnė platformos plėtra į kelias turto klases, “Mintos” mobiliosios programėlės vystymas ir pasirengimas Europos Centrinio Banko </w:t>
      </w:r>
      <w:proofErr w:type="spellStart"/>
      <w:r>
        <w:rPr>
          <w:rFonts w:ascii="Inter" w:eastAsia="Inter" w:hAnsi="Inter" w:cs="Inter"/>
        </w:rPr>
        <w:t>banko</w:t>
      </w:r>
      <w:proofErr w:type="spellEnd"/>
      <w:r>
        <w:rPr>
          <w:rFonts w:ascii="Inter" w:eastAsia="Inter" w:hAnsi="Inter" w:cs="Inter"/>
        </w:rPr>
        <w:t xml:space="preserve"> licencijos paraiškai.</w:t>
      </w:r>
    </w:p>
    <w:p w14:paraId="109E1BCF" w14:textId="2BA17CB2" w:rsidR="00400E54" w:rsidRDefault="00000000" w:rsidP="009D7ADD">
      <w:pPr>
        <w:spacing w:before="240" w:after="240"/>
        <w:jc w:val="both"/>
        <w:rPr>
          <w:rFonts w:ascii="Inter" w:eastAsia="Inter" w:hAnsi="Inter" w:cs="Inter"/>
        </w:rPr>
      </w:pPr>
      <w:r>
        <w:rPr>
          <w:rFonts w:ascii="Inter" w:eastAsia="Inter" w:hAnsi="Inter" w:cs="Inter"/>
        </w:rPr>
        <w:t xml:space="preserve">„2025-ieji „Mintos“ buvo itin svarbūs metai. Patvirtinome kelių turto klasių strategiją, pamatėme, kad Ispanija gali tapti modeliu tolesnei plėtrai, atnaujinome prekės ženklą ir padėjome pagrindus kitam augimo etapui. 2026 metais į platformos pasiūlą įtraukdami </w:t>
      </w:r>
      <w:proofErr w:type="spellStart"/>
      <w:r>
        <w:rPr>
          <w:rFonts w:ascii="Inter" w:eastAsia="Inter" w:hAnsi="Inter" w:cs="Inter"/>
        </w:rPr>
        <w:t>kriptovaliutų</w:t>
      </w:r>
      <w:proofErr w:type="spellEnd"/>
      <w:r>
        <w:rPr>
          <w:rFonts w:ascii="Inter" w:eastAsia="Inter" w:hAnsi="Inter" w:cs="Inter"/>
        </w:rPr>
        <w:t xml:space="preserve"> ETP bei </w:t>
      </w:r>
      <w:r w:rsidR="0076779D">
        <w:rPr>
          <w:rFonts w:ascii="Inter" w:eastAsia="Inter" w:hAnsi="Inter" w:cs="Inter"/>
        </w:rPr>
        <w:t xml:space="preserve">planuodami </w:t>
      </w:r>
      <w:r>
        <w:rPr>
          <w:rFonts w:ascii="Inter" w:eastAsia="Inter" w:hAnsi="Inter" w:cs="Inter"/>
        </w:rPr>
        <w:t xml:space="preserve">investavimą į akcijas, taip pat rengdamiesi ECB banko licencijos paraiškai, nuosekliai judame link savo tikslo – tapti pirmuoju pasirinkimu ilgalaikiam turto kaupimui Europoje“, – sako M. </w:t>
      </w:r>
      <w:proofErr w:type="spellStart"/>
      <w:r>
        <w:rPr>
          <w:rFonts w:ascii="Inter" w:eastAsia="Inter" w:hAnsi="Inter" w:cs="Inter"/>
        </w:rPr>
        <w:t>Sulte</w:t>
      </w:r>
      <w:proofErr w:type="spellEnd"/>
      <w:r>
        <w:rPr>
          <w:rFonts w:ascii="Inter" w:eastAsia="Inter" w:hAnsi="Inter" w:cs="Inter"/>
        </w:rPr>
        <w:t>.</w:t>
      </w:r>
    </w:p>
    <w:p w14:paraId="1C9D9A43" w14:textId="77777777" w:rsidR="00400E54" w:rsidRDefault="00000000" w:rsidP="009D7ADD">
      <w:pPr>
        <w:spacing w:before="240" w:after="240"/>
        <w:jc w:val="both"/>
        <w:rPr>
          <w:rFonts w:ascii="Inter" w:eastAsia="Inter" w:hAnsi="Inter" w:cs="Inter"/>
          <w:b/>
          <w:bCs/>
        </w:rPr>
      </w:pPr>
      <w:r>
        <w:rPr>
          <w:rFonts w:ascii="Inter" w:eastAsia="Inter" w:hAnsi="Inter" w:cs="Inter"/>
          <w:b/>
          <w:bCs/>
        </w:rPr>
        <w:t>Investuotojai dažniau renkasi kelias turto klases</w:t>
      </w:r>
    </w:p>
    <w:p w14:paraId="6533C073" w14:textId="59EEFC94" w:rsidR="00400E54" w:rsidRDefault="00000000" w:rsidP="009D7ADD">
      <w:pPr>
        <w:spacing w:before="240" w:after="240"/>
        <w:jc w:val="both"/>
        <w:rPr>
          <w:rFonts w:ascii="Inter" w:eastAsia="Inter" w:hAnsi="Inter" w:cs="Inter"/>
        </w:rPr>
      </w:pPr>
      <w:r>
        <w:rPr>
          <w:rFonts w:ascii="Inter" w:eastAsia="Inter" w:hAnsi="Inter" w:cs="Inter"/>
        </w:rPr>
        <w:t xml:space="preserve">Reikšmingiausias 2025 m. pokytis buvo tolesnė „Mintos“ transformacija iš į paskolas orientuotos </w:t>
      </w:r>
      <w:r w:rsidR="0076779D">
        <w:rPr>
          <w:rFonts w:ascii="Inter" w:eastAsia="Inter" w:hAnsi="Inter" w:cs="Inter"/>
        </w:rPr>
        <w:t>platformos</w:t>
      </w:r>
      <w:r>
        <w:rPr>
          <w:rFonts w:ascii="Inter" w:eastAsia="Inter" w:hAnsi="Inter" w:cs="Inter"/>
        </w:rPr>
        <w:t xml:space="preserve"> į platesnę kelių turto klasių investavimo platformą. Šiuo metu investuotojai vienoje vietoje gali rinktis paskolas, obligacijas, nuomai skirtą nekilnojamąjį turtą, ETF, </w:t>
      </w:r>
      <w:proofErr w:type="spellStart"/>
      <w:r>
        <w:rPr>
          <w:rFonts w:ascii="Inter" w:eastAsia="Inter" w:hAnsi="Inter" w:cs="Inter"/>
        </w:rPr>
        <w:t>kriptovaliutų</w:t>
      </w:r>
      <w:proofErr w:type="spellEnd"/>
      <w:r>
        <w:rPr>
          <w:rFonts w:ascii="Inter" w:eastAsia="Inter" w:hAnsi="Inter" w:cs="Inter"/>
        </w:rPr>
        <w:t xml:space="preserve"> ETP ir „</w:t>
      </w:r>
      <w:proofErr w:type="spellStart"/>
      <w:r>
        <w:rPr>
          <w:rFonts w:ascii="Inter" w:eastAsia="Inter" w:hAnsi="Inter" w:cs="Inter"/>
        </w:rPr>
        <w:t>Smart</w:t>
      </w:r>
      <w:proofErr w:type="spellEnd"/>
      <w:r>
        <w:rPr>
          <w:rFonts w:ascii="Inter" w:eastAsia="Inter" w:hAnsi="Inter" w:cs="Inter"/>
        </w:rPr>
        <w:t xml:space="preserve"> </w:t>
      </w:r>
      <w:proofErr w:type="spellStart"/>
      <w:r>
        <w:rPr>
          <w:rFonts w:ascii="Inter" w:eastAsia="Inter" w:hAnsi="Inter" w:cs="Inter"/>
        </w:rPr>
        <w:t>Cash</w:t>
      </w:r>
      <w:proofErr w:type="spellEnd"/>
      <w:r>
        <w:rPr>
          <w:rFonts w:ascii="Inter" w:eastAsia="Inter" w:hAnsi="Inter" w:cs="Inter"/>
        </w:rPr>
        <w:t>“ pinigų rinkos fondą.</w:t>
      </w:r>
    </w:p>
    <w:p w14:paraId="0D6AD9E4" w14:textId="77777777" w:rsidR="00400E54" w:rsidRDefault="00000000" w:rsidP="009D7ADD">
      <w:pPr>
        <w:spacing w:before="240" w:after="240"/>
        <w:jc w:val="both"/>
        <w:rPr>
          <w:rFonts w:ascii="Inter" w:eastAsia="Inter" w:hAnsi="Inter" w:cs="Inter"/>
        </w:rPr>
      </w:pPr>
      <w:r>
        <w:rPr>
          <w:rFonts w:ascii="Inter" w:eastAsia="Inter" w:hAnsi="Inter" w:cs="Inter"/>
        </w:rPr>
        <w:t>Kas trečias aktyvus „Mintos“ investuotojas šiuo metu turi dvi ar daugiau turto klasių, o naujesni investuotojai portfelius diversifikuoja sparčiau nei tie, kurie prie platformos prisijungė prieš dvejus metus.</w:t>
      </w:r>
    </w:p>
    <w:p w14:paraId="5735B8B3" w14:textId="77777777" w:rsidR="00400E54" w:rsidRDefault="00000000" w:rsidP="009D7ADD">
      <w:pPr>
        <w:spacing w:before="240" w:after="240"/>
        <w:jc w:val="both"/>
        <w:rPr>
          <w:rFonts w:ascii="Inter" w:eastAsia="Inter" w:hAnsi="Inter" w:cs="Inter"/>
        </w:rPr>
      </w:pPr>
      <w:r>
        <w:rPr>
          <w:rFonts w:ascii="Inter" w:eastAsia="Inter" w:hAnsi="Inter" w:cs="Inter"/>
        </w:rPr>
        <w:t>2025 m. išsiskyrė ir Ispanijos rinka. Per pastaruosius 24 mėnesius registracijų skaičius šioje šalyje išaugo 84 proc., o naujų investuotojų įneštos lėšos antrąjį 2025 m. pusmetį buvo maždaug 2,5 karto didesnės nei tuo pačiu laikotarpiu prieš metus. Ispanija tapo viena sparčiausiai augančių „Mintos“ rinkų, o panašų lokalios plėtros modelį bendrovė šiuo metu taiko Prancūzijoje ir Nyderlanduose.</w:t>
      </w:r>
    </w:p>
    <w:p w14:paraId="42FB7FB2" w14:textId="77777777" w:rsidR="00400E54" w:rsidRDefault="00000000" w:rsidP="009D7ADD">
      <w:pPr>
        <w:spacing w:before="240" w:after="240"/>
        <w:jc w:val="both"/>
        <w:rPr>
          <w:rFonts w:ascii="Inter" w:eastAsia="Inter" w:hAnsi="Inter" w:cs="Inter"/>
          <w:b/>
          <w:bCs/>
        </w:rPr>
      </w:pPr>
      <w:r>
        <w:rPr>
          <w:rFonts w:ascii="Inter" w:eastAsia="Inter" w:hAnsi="Inter" w:cs="Inter"/>
          <w:b/>
          <w:bCs/>
        </w:rPr>
        <w:t>Sparčiausiai augo investicijos į obligacijas</w:t>
      </w:r>
    </w:p>
    <w:p w14:paraId="455EB33E" w14:textId="77777777" w:rsidR="00400E54" w:rsidRDefault="00000000" w:rsidP="009D7ADD">
      <w:pPr>
        <w:spacing w:before="240" w:after="240"/>
        <w:jc w:val="both"/>
        <w:rPr>
          <w:rFonts w:ascii="Inter" w:eastAsia="Inter" w:hAnsi="Inter" w:cs="Inter"/>
        </w:rPr>
      </w:pPr>
      <w:r>
        <w:rPr>
          <w:rFonts w:ascii="Inter" w:eastAsia="Inter" w:hAnsi="Inter" w:cs="Inter"/>
        </w:rPr>
        <w:lastRenderedPageBreak/>
        <w:t>2025 m. viena ryškiausių augimo krypčių buvo obligacijos. Į obligacijas investuojančių „Mintos“ investuotojų skaičius per metus padidėjo 61 proc., o bendra investuota suma daugiau nei padvigubėjo ir pasiekė 41,4 mln. eurų.</w:t>
      </w:r>
    </w:p>
    <w:p w14:paraId="5D0F3AB9" w14:textId="77777777" w:rsidR="00400E54" w:rsidRDefault="00000000" w:rsidP="009D7ADD">
      <w:pPr>
        <w:spacing w:before="240" w:after="240"/>
        <w:jc w:val="both"/>
        <w:rPr>
          <w:rFonts w:ascii="Inter" w:eastAsia="Inter" w:hAnsi="Inter" w:cs="Inter"/>
        </w:rPr>
      </w:pPr>
      <w:r>
        <w:rPr>
          <w:rFonts w:ascii="Inter" w:eastAsia="Inter" w:hAnsi="Inter" w:cs="Inter"/>
        </w:rPr>
        <w:t>Lapkričio mėnesį „Mintos“ pristatė „</w:t>
      </w:r>
      <w:proofErr w:type="spellStart"/>
      <w:r>
        <w:rPr>
          <w:rFonts w:ascii="Inter" w:eastAsia="Inter" w:hAnsi="Inter" w:cs="Inter"/>
        </w:rPr>
        <w:t>High-Yield</w:t>
      </w:r>
      <w:proofErr w:type="spellEnd"/>
      <w:r>
        <w:rPr>
          <w:rFonts w:ascii="Inter" w:eastAsia="Inter" w:hAnsi="Inter" w:cs="Inter"/>
        </w:rPr>
        <w:t xml:space="preserve"> </w:t>
      </w:r>
      <w:proofErr w:type="spellStart"/>
      <w:r>
        <w:rPr>
          <w:rFonts w:ascii="Inter" w:eastAsia="Inter" w:hAnsi="Inter" w:cs="Inter"/>
        </w:rPr>
        <w:t>Bonds</w:t>
      </w:r>
      <w:proofErr w:type="spellEnd"/>
      <w:r>
        <w:rPr>
          <w:rFonts w:ascii="Inter" w:eastAsia="Inter" w:hAnsi="Inter" w:cs="Inter"/>
        </w:rPr>
        <w:t xml:space="preserve"> </w:t>
      </w:r>
      <w:proofErr w:type="spellStart"/>
      <w:r>
        <w:rPr>
          <w:rFonts w:ascii="Inter" w:eastAsia="Inter" w:hAnsi="Inter" w:cs="Inter"/>
        </w:rPr>
        <w:t>Portfolio</w:t>
      </w:r>
      <w:proofErr w:type="spellEnd"/>
      <w:r>
        <w:rPr>
          <w:rFonts w:ascii="Inter" w:eastAsia="Inter" w:hAnsi="Inter" w:cs="Inter"/>
        </w:rPr>
        <w:t>“ – sprendimą investuotojams, norintiems investuoti į didesnio pajamingumo įmonių obligacijas be rankinio obligacijų atrankos proceso. Kapitalas šiame portfelyje automatiškai paskirstomas diversifikuotam obligacijų krepšeliui, kuponai reinvestuojami, o lėšų išpirkimas yra lankstus, priklausomai nuo rinkos sąlygų.</w:t>
      </w:r>
    </w:p>
    <w:p w14:paraId="2C4CA5F2" w14:textId="77777777" w:rsidR="00400E54" w:rsidRDefault="00000000" w:rsidP="009D7ADD">
      <w:pPr>
        <w:spacing w:before="240" w:after="240"/>
        <w:jc w:val="both"/>
        <w:rPr>
          <w:rFonts w:ascii="Inter" w:eastAsia="Inter" w:hAnsi="Inter" w:cs="Inter"/>
        </w:rPr>
      </w:pPr>
      <w:r>
        <w:rPr>
          <w:rFonts w:ascii="Inter" w:eastAsia="Inter" w:hAnsi="Inter" w:cs="Inter"/>
        </w:rPr>
        <w:t>Nuomai skirto nekilnojamojo turto pasiūla, kuri „Mintos“ platformoje pristatyta 2024 m. balandį, 2025 m. išsiplėtė nuo dviejų iki keturių šalių. Prie Austrijoje ir Latvijoje esančių objektų prisijungė nauji nekilnojamojo turto objektai Lenkijoje ir Danijoje.</w:t>
      </w:r>
    </w:p>
    <w:p w14:paraId="13870D7B" w14:textId="77777777" w:rsidR="00400E54" w:rsidRDefault="00000000" w:rsidP="009D7ADD">
      <w:pPr>
        <w:spacing w:before="240" w:after="240"/>
        <w:jc w:val="both"/>
        <w:rPr>
          <w:rFonts w:ascii="Inter" w:eastAsia="Inter" w:hAnsi="Inter" w:cs="Inter"/>
        </w:rPr>
      </w:pPr>
      <w:r>
        <w:rPr>
          <w:rFonts w:ascii="Inter" w:eastAsia="Inter" w:hAnsi="Inter" w:cs="Inter"/>
        </w:rPr>
        <w:t>2025 metais „Mintos“ taip pat atnaujino savo prekės ženklą programėlėje, interneto svetainėje ir socialiniuose kanaluose. Bendrovė toliau vystė mobiliąją programėlę, kurioje investuotojams tapo prieinama didžioji dalis platformos funkcijų.</w:t>
      </w:r>
    </w:p>
    <w:p w14:paraId="3F1CF5FC" w14:textId="77777777" w:rsidR="00400E54" w:rsidRDefault="00000000" w:rsidP="009D7ADD">
      <w:pPr>
        <w:spacing w:before="240" w:after="240"/>
        <w:jc w:val="both"/>
        <w:rPr>
          <w:rFonts w:ascii="Inter" w:eastAsia="Inter" w:hAnsi="Inter" w:cs="Inter"/>
          <w:b/>
          <w:bCs/>
        </w:rPr>
      </w:pPr>
      <w:r>
        <w:rPr>
          <w:rFonts w:ascii="Inter" w:eastAsia="Inter" w:hAnsi="Inter" w:cs="Inter"/>
          <w:b/>
          <w:bCs/>
        </w:rPr>
        <w:t>2026 metais – naujos turto klasės ir banko licencijos paraiška</w:t>
      </w:r>
    </w:p>
    <w:p w14:paraId="55159744" w14:textId="7BC2066F" w:rsidR="00400E54" w:rsidRDefault="00000000" w:rsidP="009D7ADD">
      <w:pPr>
        <w:spacing w:before="240" w:after="240"/>
        <w:jc w:val="both"/>
        <w:rPr>
          <w:rFonts w:ascii="Inter" w:eastAsia="Inter" w:hAnsi="Inter" w:cs="Inter"/>
        </w:rPr>
      </w:pPr>
      <w:r>
        <w:rPr>
          <w:rFonts w:ascii="Inter" w:eastAsia="Inter" w:hAnsi="Inter" w:cs="Inter"/>
        </w:rPr>
        <w:t xml:space="preserve">2026 m. „Mintos“ planuoja toliau plėsti investavimo pasiūlą ir stiprinti platformą. Kovo mėnesį pradėti siūlyti </w:t>
      </w:r>
      <w:proofErr w:type="spellStart"/>
      <w:r>
        <w:rPr>
          <w:rFonts w:ascii="Inter" w:eastAsia="Inter" w:hAnsi="Inter" w:cs="Inter"/>
        </w:rPr>
        <w:t>kripto</w:t>
      </w:r>
      <w:proofErr w:type="spellEnd"/>
      <w:r>
        <w:rPr>
          <w:rFonts w:ascii="Inter" w:eastAsia="Inter" w:hAnsi="Inter" w:cs="Inter"/>
        </w:rPr>
        <w:t xml:space="preserve"> ETP, o artimiausiais mėnesiais planuojama pasiūlyti investavimą į atskirų bendrovių akcijas. Bendrovės vertinimu, tai yra reikšmingiausias iki šiol platformos pasiūlos išplėtimo etapas.</w:t>
      </w:r>
    </w:p>
    <w:p w14:paraId="3858F9EC" w14:textId="77777777" w:rsidR="00400E54" w:rsidRDefault="00000000" w:rsidP="009D7ADD">
      <w:pPr>
        <w:spacing w:before="240" w:after="240"/>
        <w:jc w:val="both"/>
        <w:rPr>
          <w:rFonts w:ascii="Inter" w:eastAsia="Inter" w:hAnsi="Inter" w:cs="Inter"/>
          <w:sz w:val="18"/>
          <w:szCs w:val="18"/>
        </w:rPr>
      </w:pPr>
      <w:r>
        <w:rPr>
          <w:rFonts w:ascii="Inter" w:eastAsia="Inter" w:hAnsi="Inter" w:cs="Inter"/>
        </w:rPr>
        <w:t>Kitas svarbus etapas – pasirengimas paraiškai ECB dėl banko licencijos. Gavus reguliuotojų patvirtinimą, banko licencija leistų „Mintos“ klientams pasiūlyti iki 100 tūkst. eurų indėlių apsaugą, taip pat suteiktų bendrovei galimybę naudotis stabilesniu ir pigesniu finansavimu per klientų indėlius, tiesiogiai siūlyti skolinimo bei kitus bankinius produktus ir turėti daugiau operacinės kontrolės valdant pagrindinę platformos infrastruktūrą.</w:t>
      </w:r>
    </w:p>
    <w:sectPr w:rsidR="00400E54">
      <w:headerReference w:type="default" r:id="rId6"/>
      <w:footerReference w:type="default" r:id="rId7"/>
      <w:headerReference w:type="first" r:id="rId8"/>
      <w:pgSz w:w="11906" w:h="16838"/>
      <w:pgMar w:top="1440" w:right="1440" w:bottom="1440" w:left="1440" w:header="566" w:footer="68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A2A0B4" w14:textId="77777777" w:rsidR="007F3259" w:rsidRDefault="007F3259">
      <w:pPr>
        <w:spacing w:line="240" w:lineRule="auto"/>
      </w:pPr>
      <w:r>
        <w:separator/>
      </w:r>
    </w:p>
  </w:endnote>
  <w:endnote w:type="continuationSeparator" w:id="0">
    <w:p w14:paraId="59CB834D" w14:textId="77777777" w:rsidR="007F3259" w:rsidRDefault="007F325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nter">
    <w:charset w:val="00"/>
    <w:family w:val="auto"/>
    <w:pitch w:val="default"/>
    <w:embedRegular r:id="rId1" w:fontKey="{F4F72DDD-5D6A-4BBF-8F89-5E9C66074A1F}"/>
    <w:embedBold r:id="rId2" w:fontKey="{B37E700B-2531-4760-A6AA-BFC9116DF604}"/>
  </w:font>
  <w:font w:name="Inter Medium">
    <w:charset w:val="00"/>
    <w:family w:val="auto"/>
    <w:pitch w:val="default"/>
    <w:embedRegular r:id="rId3" w:fontKey="{BABE0C74-A883-470F-96DE-67F73EF9AA7E}"/>
    <w:embedBold r:id="rId4" w:fontKey="{0BD1684D-ADC3-4046-96D0-4219B3FB79D0}"/>
  </w:font>
  <w:font w:name="Calibri">
    <w:panose1 w:val="020F0502020204030204"/>
    <w:charset w:val="BA"/>
    <w:family w:val="swiss"/>
    <w:pitch w:val="variable"/>
    <w:sig w:usb0="E4002EFF" w:usb1="C200247B" w:usb2="00000009" w:usb3="00000000" w:csb0="000001FF" w:csb1="00000000"/>
    <w:embedRegular r:id="rId5" w:fontKey="{D4A3524B-53CA-417D-8366-5D520075F72A}"/>
  </w:font>
  <w:font w:name="Cambria">
    <w:panose1 w:val="02040503050406030204"/>
    <w:charset w:val="BA"/>
    <w:family w:val="roman"/>
    <w:pitch w:val="variable"/>
    <w:sig w:usb0="E00006FF" w:usb1="420024FF" w:usb2="02000000" w:usb3="00000000" w:csb0="0000019F" w:csb1="00000000"/>
    <w:embedRegular r:id="rId6" w:fontKey="{17820602-D258-40E8-930F-7E4787AE71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C9934" w14:textId="77777777" w:rsidR="00400E54" w:rsidRDefault="00400E54">
    <w:pPr>
      <w:rPr>
        <w:rFonts w:ascii="Inter" w:eastAsia="Inter" w:hAnsi="Inter" w:cs="Inter"/>
        <w:color w:val="666666"/>
        <w:sz w:val="16"/>
        <w:szCs w:val="16"/>
      </w:rPr>
    </w:pPr>
  </w:p>
  <w:p w14:paraId="6ACE5F31" w14:textId="77777777" w:rsidR="00400E54" w:rsidRDefault="00000000">
    <w:pPr>
      <w:rPr>
        <w:rFonts w:ascii="Inter" w:eastAsia="Inter" w:hAnsi="Inter" w:cs="Inter"/>
        <w:color w:val="666666"/>
        <w:sz w:val="16"/>
        <w:szCs w:val="16"/>
      </w:rPr>
    </w:pPr>
    <w:r>
      <w:rPr>
        <w:noProof/>
      </w:rPr>
      <w:pict w14:anchorId="51421B52">
        <v:rect id="_x0000_i1025" alt="" style="width:451.3pt;height:.05pt;mso-width-percent:0;mso-height-percent:0;mso-width-percent:0;mso-height-percent:0" o:hralign="center" o:hrstd="t" o:hr="t" fillcolor="#a0a0a0" stroked="f"/>
      </w:pict>
    </w:r>
  </w:p>
  <w:p w14:paraId="0A26CC05" w14:textId="77777777" w:rsidR="00400E54" w:rsidRDefault="00400E54">
    <w:pPr>
      <w:rPr>
        <w:rFonts w:ascii="Inter" w:eastAsia="Inter" w:hAnsi="Inter" w:cs="Inter"/>
        <w:color w:val="666666"/>
        <w:sz w:val="12"/>
        <w:szCs w:val="12"/>
      </w:rPr>
    </w:pPr>
  </w:p>
  <w:p w14:paraId="0D6DA0FB" w14:textId="77777777" w:rsidR="00400E54" w:rsidRDefault="00000000">
    <w:pPr>
      <w:rPr>
        <w:rFonts w:ascii="Inter Medium" w:eastAsia="Inter Medium" w:hAnsi="Inter Medium" w:cs="Inter Medium"/>
        <w:color w:val="434343"/>
        <w:sz w:val="16"/>
        <w:szCs w:val="16"/>
      </w:rPr>
    </w:pPr>
    <w:r>
      <w:rPr>
        <w:rFonts w:ascii="Inter Medium" w:eastAsia="Inter Medium" w:hAnsi="Inter Medium" w:cs="Inter Medium"/>
        <w:color w:val="434343"/>
        <w:sz w:val="16"/>
        <w:szCs w:val="16"/>
      </w:rPr>
      <w:t>Apie „Mintos“:</w:t>
    </w:r>
  </w:p>
  <w:p w14:paraId="41C56366" w14:textId="77777777" w:rsidR="00400E54" w:rsidRDefault="00000000">
    <w:pPr>
      <w:rPr>
        <w:rFonts w:ascii="Inter Medium" w:eastAsia="Inter Medium" w:hAnsi="Inter Medium" w:cs="Inter Medium"/>
        <w:color w:val="434343"/>
        <w:sz w:val="16"/>
        <w:szCs w:val="16"/>
      </w:rPr>
    </w:pPr>
    <w:r>
      <w:rPr>
        <w:rFonts w:ascii="Inter Medium" w:eastAsia="Inter Medium" w:hAnsi="Inter Medium" w:cs="Inter Medium"/>
        <w:color w:val="434343"/>
        <w:sz w:val="16"/>
        <w:szCs w:val="16"/>
      </w:rPr>
      <w:t xml:space="preserve">„Mintos“ yra 2015 metais įkurta kelių turto klasių Europos investavimo platforma, suteikianti privatiems investuotojams galimybę ilgainiui kaupti turtą. Vienoje vietoje siūlydama skirtingas turto klases – paskolas, obligacijas, nekilnojamąjį turtą, ETF, </w:t>
    </w:r>
    <w:proofErr w:type="spellStart"/>
    <w:r>
      <w:rPr>
        <w:rFonts w:ascii="Inter Medium" w:eastAsia="Inter Medium" w:hAnsi="Inter Medium" w:cs="Inter Medium"/>
        <w:color w:val="434343"/>
        <w:sz w:val="16"/>
        <w:szCs w:val="16"/>
      </w:rPr>
      <w:t>kripto</w:t>
    </w:r>
    <w:proofErr w:type="spellEnd"/>
    <w:r>
      <w:rPr>
        <w:rFonts w:ascii="Inter Medium" w:eastAsia="Inter Medium" w:hAnsi="Inter Medium" w:cs="Inter Medium"/>
        <w:color w:val="434343"/>
        <w:sz w:val="16"/>
        <w:szCs w:val="16"/>
      </w:rPr>
      <w:t xml:space="preserve"> ETP ir „</w:t>
    </w:r>
    <w:proofErr w:type="spellStart"/>
    <w:r>
      <w:rPr>
        <w:rFonts w:ascii="Inter Medium" w:eastAsia="Inter Medium" w:hAnsi="Inter Medium" w:cs="Inter Medium"/>
        <w:color w:val="434343"/>
        <w:sz w:val="16"/>
        <w:szCs w:val="16"/>
      </w:rPr>
      <w:t>Smart</w:t>
    </w:r>
    <w:proofErr w:type="spellEnd"/>
    <w:r>
      <w:rPr>
        <w:rFonts w:ascii="Inter Medium" w:eastAsia="Inter Medium" w:hAnsi="Inter Medium" w:cs="Inter Medium"/>
        <w:color w:val="434343"/>
        <w:sz w:val="16"/>
        <w:szCs w:val="16"/>
      </w:rPr>
      <w:t xml:space="preserve"> </w:t>
    </w:r>
    <w:proofErr w:type="spellStart"/>
    <w:r>
      <w:rPr>
        <w:rFonts w:ascii="Inter Medium" w:eastAsia="Inter Medium" w:hAnsi="Inter Medium" w:cs="Inter Medium"/>
        <w:color w:val="434343"/>
        <w:sz w:val="16"/>
        <w:szCs w:val="16"/>
      </w:rPr>
      <w:t>Cash</w:t>
    </w:r>
    <w:proofErr w:type="spellEnd"/>
    <w:r>
      <w:rPr>
        <w:rFonts w:ascii="Inter Medium" w:eastAsia="Inter Medium" w:hAnsi="Inter Medium" w:cs="Inter Medium"/>
        <w:color w:val="434343"/>
        <w:sz w:val="16"/>
        <w:szCs w:val="16"/>
      </w:rPr>
      <w:t xml:space="preserve">“ sprendimą – „Mintos“ investuotojams suteikia platų sprendimą portfelių diversifikavimui. „Mintos“ valdo daugiau nei 800 mln. eurų turto ir ja pasitiki beveik 700 tūkst. registruotų naudotojų visoje Europoje. Bendrovė turi investicinės įmonės licenciją pagal </w:t>
    </w:r>
    <w:proofErr w:type="spellStart"/>
    <w:r>
      <w:rPr>
        <w:rFonts w:ascii="Inter Medium" w:eastAsia="Inter Medium" w:hAnsi="Inter Medium" w:cs="Inter Medium"/>
        <w:color w:val="434343"/>
        <w:sz w:val="16"/>
        <w:szCs w:val="16"/>
      </w:rPr>
      <w:t>MiFID</w:t>
    </w:r>
    <w:proofErr w:type="spellEnd"/>
    <w:r>
      <w:rPr>
        <w:rFonts w:ascii="Inter Medium" w:eastAsia="Inter Medium" w:hAnsi="Inter Medium" w:cs="Inter Medium"/>
        <w:color w:val="434343"/>
        <w:sz w:val="16"/>
        <w:szCs w:val="16"/>
      </w:rPr>
      <w:t xml:space="preserve"> II reglamentavimą, o jos biuruose Rygoje ir Berlyne dirba daugiau nei 180 žmonių.</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2DA3A" w14:textId="77777777" w:rsidR="007F3259" w:rsidRDefault="007F3259">
      <w:pPr>
        <w:spacing w:line="240" w:lineRule="auto"/>
      </w:pPr>
      <w:r>
        <w:separator/>
      </w:r>
    </w:p>
  </w:footnote>
  <w:footnote w:type="continuationSeparator" w:id="0">
    <w:p w14:paraId="0EFD2A85" w14:textId="77777777" w:rsidR="007F3259" w:rsidRDefault="007F325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3B3DC" w14:textId="77777777" w:rsidR="00400E54" w:rsidRDefault="00400E54"/>
  <w:tbl>
    <w:tblPr>
      <w:tblStyle w:val="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400E54" w14:paraId="6ED75865" w14:textId="77777777">
      <w:trPr>
        <w:trHeight w:val="526"/>
      </w:trPr>
      <w:tc>
        <w:tcPr>
          <w:tcW w:w="3008"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7347E44C" w14:textId="77777777" w:rsidR="00400E54" w:rsidRDefault="00000000">
          <w:pPr>
            <w:widowControl w:val="0"/>
            <w:spacing w:line="240" w:lineRule="auto"/>
          </w:pPr>
          <w:r>
            <w:rPr>
              <w:noProof/>
            </w:rPr>
            <w:drawing>
              <wp:inline distT="114300" distB="114300" distL="114300" distR="114300" wp14:anchorId="34153ADF" wp14:editId="2D805774">
                <wp:extent cx="1076325" cy="2791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76325" cy="279175"/>
                        </a:xfrm>
                        <a:prstGeom prst="rect">
                          <a:avLst/>
                        </a:prstGeom>
                        <a:ln/>
                      </pic:spPr>
                    </pic:pic>
                  </a:graphicData>
                </a:graphic>
              </wp:inline>
            </w:drawing>
          </w:r>
        </w:p>
      </w:tc>
      <w:tc>
        <w:tcPr>
          <w:tcW w:w="3009"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280E2EAC" w14:textId="77777777" w:rsidR="00400E54" w:rsidRDefault="00400E54">
          <w:pPr>
            <w:jc w:val="right"/>
          </w:pPr>
        </w:p>
      </w:tc>
      <w:tc>
        <w:tcPr>
          <w:tcW w:w="3009"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43214816" w14:textId="77777777" w:rsidR="00400E54" w:rsidRDefault="00400E54">
          <w:pPr>
            <w:jc w:val="right"/>
          </w:pPr>
        </w:p>
      </w:tc>
    </w:tr>
  </w:tbl>
  <w:p w14:paraId="566703D1" w14:textId="77777777" w:rsidR="00400E54" w:rsidRDefault="00400E54">
    <w:pPr>
      <w:widowControl w:val="0"/>
      <w:spacing w:line="240" w:lineRule="auto"/>
    </w:pPr>
  </w:p>
  <w:p w14:paraId="490A3CC5" w14:textId="77777777" w:rsidR="00400E54" w:rsidRDefault="00400E54">
    <w:pPr>
      <w:widowControl w:val="0"/>
      <w:spacing w:line="240" w:lineRule="auto"/>
    </w:pPr>
  </w:p>
  <w:p w14:paraId="28CA3539" w14:textId="77777777" w:rsidR="00400E54" w:rsidRDefault="00400E54">
    <w:pPr>
      <w:widowControl w:val="0"/>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E8FEB" w14:textId="77777777" w:rsidR="00400E54" w:rsidRDefault="00400E54"/>
  <w:tbl>
    <w:tblPr>
      <w:tblStyle w:val="a0"/>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3"/>
      <w:gridCol w:w="4513"/>
    </w:tblGrid>
    <w:tr w:rsidR="00400E54" w14:paraId="100CE088" w14:textId="77777777">
      <w:tc>
        <w:tcPr>
          <w:tcW w:w="4513"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5E940302" w14:textId="77777777" w:rsidR="00400E54" w:rsidRDefault="00000000">
          <w:pPr>
            <w:widowControl w:val="0"/>
            <w:pBdr>
              <w:top w:val="nil"/>
              <w:left w:val="nil"/>
              <w:bottom w:val="nil"/>
              <w:right w:val="nil"/>
              <w:between w:val="nil"/>
            </w:pBdr>
            <w:spacing w:line="240" w:lineRule="auto"/>
          </w:pPr>
          <w:r>
            <w:rPr>
              <w:noProof/>
            </w:rPr>
            <w:drawing>
              <wp:inline distT="114300" distB="114300" distL="114300" distR="114300" wp14:anchorId="6599BF7A" wp14:editId="5653A7A0">
                <wp:extent cx="1076325" cy="27917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76325" cy="279175"/>
                        </a:xfrm>
                        <a:prstGeom prst="rect">
                          <a:avLst/>
                        </a:prstGeom>
                        <a:ln/>
                      </pic:spPr>
                    </pic:pic>
                  </a:graphicData>
                </a:graphic>
              </wp:inline>
            </w:drawing>
          </w:r>
        </w:p>
      </w:tc>
      <w:tc>
        <w:tcPr>
          <w:tcW w:w="4513"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tcPr>
        <w:p w14:paraId="6F445F5B" w14:textId="77777777" w:rsidR="00400E54" w:rsidRDefault="00000000">
          <w:pPr>
            <w:jc w:val="right"/>
            <w:rPr>
              <w:rFonts w:ascii="Inter" w:eastAsia="Inter" w:hAnsi="Inter" w:cs="Inter"/>
              <w:color w:val="666666"/>
              <w:sz w:val="16"/>
              <w:szCs w:val="16"/>
            </w:rPr>
          </w:pPr>
          <w:r>
            <w:rPr>
              <w:rFonts w:ascii="Inter" w:eastAsia="Inter" w:hAnsi="Inter" w:cs="Inter"/>
              <w:color w:val="666666"/>
              <w:sz w:val="16"/>
              <w:szCs w:val="16"/>
            </w:rPr>
            <w:t>Daugiau informacijos:</w:t>
          </w:r>
        </w:p>
        <w:p w14:paraId="2D0B1B06" w14:textId="77777777" w:rsidR="00400E54" w:rsidRDefault="00400E54">
          <w:pPr>
            <w:jc w:val="right"/>
            <w:rPr>
              <w:rFonts w:ascii="Inter" w:eastAsia="Inter" w:hAnsi="Inter" w:cs="Inter"/>
              <w:color w:val="666666"/>
              <w:sz w:val="16"/>
              <w:szCs w:val="16"/>
            </w:rPr>
          </w:pPr>
        </w:p>
        <w:p w14:paraId="1E187D7D" w14:textId="77777777" w:rsidR="00400E54" w:rsidRDefault="00000000">
          <w:pPr>
            <w:jc w:val="right"/>
            <w:rPr>
              <w:rFonts w:ascii="Inter" w:eastAsia="Inter" w:hAnsi="Inter" w:cs="Inter"/>
              <w:b/>
              <w:bCs/>
              <w:color w:val="434343"/>
              <w:sz w:val="16"/>
              <w:szCs w:val="16"/>
            </w:rPr>
          </w:pPr>
          <w:proofErr w:type="spellStart"/>
          <w:r>
            <w:rPr>
              <w:rFonts w:ascii="Inter" w:eastAsia="Inter" w:hAnsi="Inter" w:cs="Inter"/>
              <w:b/>
              <w:bCs/>
              <w:color w:val="434343"/>
              <w:sz w:val="16"/>
              <w:szCs w:val="16"/>
            </w:rPr>
            <w:t>Giulia</w:t>
          </w:r>
          <w:proofErr w:type="spellEnd"/>
          <w:r>
            <w:rPr>
              <w:rFonts w:ascii="Inter" w:eastAsia="Inter" w:hAnsi="Inter" w:cs="Inter"/>
              <w:b/>
              <w:bCs/>
              <w:color w:val="434343"/>
              <w:sz w:val="16"/>
              <w:szCs w:val="16"/>
            </w:rPr>
            <w:t xml:space="preserve"> </w:t>
          </w:r>
          <w:proofErr w:type="spellStart"/>
          <w:r>
            <w:rPr>
              <w:rFonts w:ascii="Inter" w:eastAsia="Inter" w:hAnsi="Inter" w:cs="Inter"/>
              <w:b/>
              <w:bCs/>
              <w:color w:val="434343"/>
              <w:sz w:val="16"/>
              <w:szCs w:val="16"/>
            </w:rPr>
            <w:t>Meloni</w:t>
          </w:r>
          <w:proofErr w:type="spellEnd"/>
        </w:p>
        <w:p w14:paraId="2C92E2C1" w14:textId="77777777" w:rsidR="00400E54" w:rsidRDefault="00000000">
          <w:pPr>
            <w:jc w:val="right"/>
            <w:rPr>
              <w:rFonts w:ascii="Inter" w:eastAsia="Inter" w:hAnsi="Inter" w:cs="Inter"/>
              <w:color w:val="666666"/>
              <w:sz w:val="16"/>
              <w:szCs w:val="16"/>
            </w:rPr>
          </w:pPr>
          <w:r>
            <w:rPr>
              <w:rFonts w:ascii="Inter" w:eastAsia="Inter" w:hAnsi="Inter" w:cs="Inter"/>
              <w:color w:val="666666"/>
              <w:sz w:val="16"/>
              <w:szCs w:val="16"/>
            </w:rPr>
            <w:t xml:space="preserve">Global </w:t>
          </w:r>
          <w:proofErr w:type="spellStart"/>
          <w:r>
            <w:rPr>
              <w:rFonts w:ascii="Inter" w:eastAsia="Inter" w:hAnsi="Inter" w:cs="Inter"/>
              <w:color w:val="666666"/>
              <w:sz w:val="16"/>
              <w:szCs w:val="16"/>
            </w:rPr>
            <w:t>Brand</w:t>
          </w:r>
          <w:proofErr w:type="spellEnd"/>
          <w:r>
            <w:rPr>
              <w:rFonts w:ascii="Inter" w:eastAsia="Inter" w:hAnsi="Inter" w:cs="Inter"/>
              <w:color w:val="666666"/>
              <w:sz w:val="16"/>
              <w:szCs w:val="16"/>
            </w:rPr>
            <w:t xml:space="preserve"> &amp; </w:t>
          </w:r>
          <w:proofErr w:type="spellStart"/>
          <w:r>
            <w:rPr>
              <w:rFonts w:ascii="Inter" w:eastAsia="Inter" w:hAnsi="Inter" w:cs="Inter"/>
              <w:color w:val="666666"/>
              <w:sz w:val="16"/>
              <w:szCs w:val="16"/>
            </w:rPr>
            <w:t>Communications</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Lead</w:t>
          </w:r>
          <w:proofErr w:type="spellEnd"/>
        </w:p>
        <w:p w14:paraId="1A11BE63" w14:textId="77777777" w:rsidR="00400E54" w:rsidRDefault="00000000">
          <w:pPr>
            <w:jc w:val="right"/>
            <w:rPr>
              <w:rFonts w:ascii="Inter" w:eastAsia="Inter" w:hAnsi="Inter" w:cs="Inter"/>
              <w:color w:val="666666"/>
              <w:sz w:val="16"/>
              <w:szCs w:val="16"/>
            </w:rPr>
          </w:pPr>
          <w:proofErr w:type="spellStart"/>
          <w:r>
            <w:rPr>
              <w:rFonts w:ascii="Inter" w:eastAsia="Inter" w:hAnsi="Inter" w:cs="Inter"/>
              <w:color w:val="666666"/>
              <w:sz w:val="16"/>
              <w:szCs w:val="16"/>
            </w:rPr>
            <w:t>Mobile</w:t>
          </w:r>
          <w:proofErr w:type="spellEnd"/>
          <w:r>
            <w:rPr>
              <w:rFonts w:ascii="Inter" w:eastAsia="Inter" w:hAnsi="Inter" w:cs="Inter"/>
              <w:color w:val="666666"/>
              <w:sz w:val="16"/>
              <w:szCs w:val="16"/>
            </w:rPr>
            <w:t xml:space="preserve"> </w:t>
          </w:r>
          <w:proofErr w:type="spellStart"/>
          <w:r>
            <w:rPr>
              <w:rFonts w:ascii="Inter" w:eastAsia="Inter" w:hAnsi="Inter" w:cs="Inter"/>
              <w:color w:val="666666"/>
              <w:sz w:val="16"/>
              <w:szCs w:val="16"/>
            </w:rPr>
            <w:t>phone</w:t>
          </w:r>
          <w:proofErr w:type="spellEnd"/>
          <w:r>
            <w:rPr>
              <w:rFonts w:ascii="Inter" w:eastAsia="Inter" w:hAnsi="Inter" w:cs="Inter"/>
              <w:color w:val="666666"/>
              <w:sz w:val="16"/>
              <w:szCs w:val="16"/>
            </w:rPr>
            <w:t>: +491627383049</w:t>
          </w:r>
        </w:p>
        <w:p w14:paraId="35C19F40" w14:textId="77777777" w:rsidR="00400E54" w:rsidRDefault="00000000">
          <w:pPr>
            <w:jc w:val="right"/>
            <w:rPr>
              <w:rFonts w:ascii="Inter" w:eastAsia="Inter" w:hAnsi="Inter" w:cs="Inter"/>
              <w:color w:val="666666"/>
              <w:sz w:val="16"/>
              <w:szCs w:val="16"/>
            </w:rPr>
          </w:pPr>
          <w:proofErr w:type="spellStart"/>
          <w:r>
            <w:rPr>
              <w:rFonts w:ascii="Inter" w:eastAsia="Inter" w:hAnsi="Inter" w:cs="Inter"/>
              <w:color w:val="666666"/>
              <w:sz w:val="16"/>
              <w:szCs w:val="16"/>
            </w:rPr>
            <w:t>Email</w:t>
          </w:r>
          <w:proofErr w:type="spellEnd"/>
          <w:r>
            <w:rPr>
              <w:rFonts w:ascii="Inter" w:eastAsia="Inter" w:hAnsi="Inter" w:cs="Inter"/>
              <w:color w:val="666666"/>
              <w:sz w:val="16"/>
              <w:szCs w:val="16"/>
            </w:rPr>
            <w:t>: giulia.meloni@mintos.com</w:t>
          </w:r>
        </w:p>
        <w:p w14:paraId="6007386F" w14:textId="77777777" w:rsidR="00400E54" w:rsidRDefault="00400E54">
          <w:pPr>
            <w:jc w:val="right"/>
            <w:rPr>
              <w:rFonts w:ascii="Inter" w:eastAsia="Inter" w:hAnsi="Inter" w:cs="Inter"/>
              <w:b/>
              <w:bCs/>
              <w:color w:val="434343"/>
              <w:sz w:val="16"/>
              <w:szCs w:val="16"/>
            </w:rPr>
          </w:pPr>
        </w:p>
      </w:tc>
    </w:tr>
  </w:tbl>
  <w:p w14:paraId="590E6B97" w14:textId="77777777" w:rsidR="00400E54" w:rsidRDefault="00400E54"/>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E54"/>
    <w:rsid w:val="002C21E3"/>
    <w:rsid w:val="00400E54"/>
    <w:rsid w:val="0076779D"/>
    <w:rsid w:val="007F3259"/>
    <w:rsid w:val="00973891"/>
    <w:rsid w:val="009D7ADD"/>
    <w:rsid w:val="00A544DC"/>
    <w:rsid w:val="00CD31B1"/>
    <w:rsid w:val="00D50F3E"/>
    <w:rsid w:val="00F51B1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4A4C6"/>
  <w15:docId w15:val="{85922869-3578-4846-83B3-2EB85457A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2636</Words>
  <Characters>1504</Characters>
  <Application>Microsoft Office Word</Application>
  <DocSecurity>0</DocSecurity>
  <Lines>12</Lines>
  <Paragraphs>8</Paragraphs>
  <ScaleCrop>false</ScaleCrop>
  <Company/>
  <LinksUpToDate>false</LinksUpToDate>
  <CharactersWithSpaces>4132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5</cp:revision>
  <dcterms:created xsi:type="dcterms:W3CDTF">2026-05-05T10:24:00Z</dcterms:created>
  <dcterms:modified xsi:type="dcterms:W3CDTF">2026-05-06T08:27:00Z</dcterms:modified>
</cp:coreProperties>
</file>