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353EB6" w14:textId="77777777" w:rsidR="0088336F" w:rsidRDefault="00000000">
      <w:pPr>
        <w:rPr>
          <w:rFonts w:ascii="Arial" w:eastAsia="Arial" w:hAnsi="Arial" w:cs="Arial"/>
          <w:b/>
          <w:bCs/>
          <w:sz w:val="18"/>
          <w:szCs w:val="18"/>
        </w:rPr>
      </w:pPr>
      <w:r>
        <w:rPr>
          <w:rFonts w:ascii="Arial" w:eastAsia="Arial" w:hAnsi="Arial" w:cs="Arial"/>
          <w:b/>
          <w:bCs/>
          <w:sz w:val="18"/>
          <w:szCs w:val="18"/>
        </w:rPr>
        <w:t>Pranešimas žiniasklaidai</w:t>
      </w:r>
    </w:p>
    <w:p w14:paraId="23B3C5CE" w14:textId="77777777" w:rsidR="0088336F" w:rsidRDefault="00000000">
      <w:pPr>
        <w:rPr>
          <w:rFonts w:ascii="Arial" w:eastAsia="Arial" w:hAnsi="Arial" w:cs="Arial"/>
          <w:sz w:val="18"/>
          <w:szCs w:val="18"/>
        </w:rPr>
      </w:pPr>
      <w:r>
        <w:rPr>
          <w:rFonts w:ascii="Arial" w:eastAsia="Arial" w:hAnsi="Arial" w:cs="Arial"/>
          <w:sz w:val="18"/>
          <w:szCs w:val="18"/>
        </w:rPr>
        <w:t>Vilnius, 2026-05-07</w:t>
      </w:r>
    </w:p>
    <w:p w14:paraId="42B822B6" w14:textId="77777777" w:rsidR="0088336F" w:rsidRDefault="0088336F">
      <w:pPr>
        <w:jc w:val="both"/>
        <w:rPr>
          <w:rFonts w:ascii="Arial" w:eastAsia="Arial" w:hAnsi="Arial" w:cs="Arial"/>
          <w:b/>
          <w:bCs/>
        </w:rPr>
      </w:pPr>
    </w:p>
    <w:p w14:paraId="2D1886C5" w14:textId="77777777" w:rsidR="0088336F" w:rsidRDefault="0088336F">
      <w:pPr>
        <w:jc w:val="both"/>
        <w:rPr>
          <w:rFonts w:ascii="Arial" w:eastAsia="Arial" w:hAnsi="Arial" w:cs="Arial"/>
          <w:b/>
          <w:bCs/>
        </w:rPr>
      </w:pPr>
    </w:p>
    <w:p w14:paraId="15D2F35C" w14:textId="77777777" w:rsidR="007E7EC1" w:rsidRPr="00833DEB" w:rsidRDefault="007E7EC1" w:rsidP="007E7EC1">
      <w:pPr>
        <w:jc w:val="both"/>
        <w:rPr>
          <w:rFonts w:ascii="Arial" w:eastAsia="Arial" w:hAnsi="Arial" w:cs="Arial"/>
          <w:b/>
          <w:bCs/>
          <w:lang w:val="lt-LT"/>
        </w:rPr>
      </w:pPr>
      <w:r w:rsidRPr="00833DEB">
        <w:rPr>
          <w:rFonts w:ascii="Arial" w:eastAsia="Arial" w:hAnsi="Arial" w:cs="Arial"/>
          <w:b/>
          <w:bCs/>
          <w:lang w:val="lt-LT"/>
        </w:rPr>
        <w:t>„</w:t>
      </w:r>
      <w:proofErr w:type="spellStart"/>
      <w:r w:rsidRPr="00833DEB">
        <w:rPr>
          <w:rFonts w:ascii="Arial" w:eastAsia="Arial" w:hAnsi="Arial" w:cs="Arial"/>
          <w:b/>
          <w:bCs/>
          <w:lang w:val="lt-LT"/>
        </w:rPr>
        <w:t>Baltpool</w:t>
      </w:r>
      <w:proofErr w:type="spellEnd"/>
      <w:r w:rsidRPr="00833DEB">
        <w:rPr>
          <w:rFonts w:ascii="Arial" w:eastAsia="Arial" w:hAnsi="Arial" w:cs="Arial"/>
          <w:b/>
          <w:bCs/>
          <w:lang w:val="lt-LT"/>
        </w:rPr>
        <w:t>“ subūrė rinkos dalyvius: pristatyta 2025–2026 m. sezono apžvalga</w:t>
      </w:r>
    </w:p>
    <w:p w14:paraId="58CEC073" w14:textId="77777777" w:rsidR="007E7EC1" w:rsidRPr="00833DEB" w:rsidRDefault="007E7EC1" w:rsidP="007E7EC1">
      <w:pPr>
        <w:jc w:val="both"/>
        <w:rPr>
          <w:rFonts w:ascii="Arial" w:eastAsia="Arial" w:hAnsi="Arial" w:cs="Arial"/>
          <w:b/>
          <w:bCs/>
          <w:lang w:val="lt-LT"/>
        </w:rPr>
      </w:pPr>
    </w:p>
    <w:p w14:paraId="0EB9E62E" w14:textId="77777777" w:rsidR="007E7EC1" w:rsidRPr="00833DEB" w:rsidRDefault="007E7EC1" w:rsidP="007E7EC1">
      <w:pPr>
        <w:jc w:val="both"/>
        <w:rPr>
          <w:rFonts w:ascii="Arial" w:eastAsia="Arial" w:hAnsi="Arial" w:cs="Arial"/>
          <w:b/>
          <w:bCs/>
          <w:sz w:val="22"/>
          <w:szCs w:val="22"/>
          <w:lang w:val="lt-LT"/>
        </w:rPr>
      </w:pPr>
      <w:r w:rsidRPr="00833DEB">
        <w:rPr>
          <w:rFonts w:ascii="Arial" w:eastAsia="Arial" w:hAnsi="Arial" w:cs="Arial"/>
          <w:b/>
          <w:bCs/>
          <w:sz w:val="22"/>
          <w:szCs w:val="22"/>
          <w:lang w:val="lt-LT"/>
        </w:rPr>
        <w:t>Naujausiais „</w:t>
      </w:r>
      <w:proofErr w:type="spellStart"/>
      <w:r w:rsidRPr="00833DEB">
        <w:rPr>
          <w:rFonts w:ascii="Arial" w:eastAsia="Arial" w:hAnsi="Arial" w:cs="Arial"/>
          <w:b/>
          <w:bCs/>
          <w:sz w:val="22"/>
          <w:szCs w:val="22"/>
          <w:lang w:val="lt-LT"/>
        </w:rPr>
        <w:t>Baltpool</w:t>
      </w:r>
      <w:proofErr w:type="spellEnd"/>
      <w:r w:rsidRPr="00833DEB">
        <w:rPr>
          <w:rFonts w:ascii="Arial" w:eastAsia="Arial" w:hAnsi="Arial" w:cs="Arial"/>
          <w:b/>
          <w:bCs/>
          <w:sz w:val="22"/>
          <w:szCs w:val="22"/>
          <w:lang w:val="lt-LT"/>
        </w:rPr>
        <w:t>“ biržos duomenimis, 2025–2026 m. šildymo sezono rezultatai Baltijos šalyse rodo, kad biokuro rinkos tendencijos regione buvo panašios, tačiau kainų dinamika ir jos svyravimai skyrėsi dėl skirtingos rinkos struktūros, oro sąlygų ir pasirinktų kuro įsigijimo strategijų. Kaip pristatyta didžiausiame regiono biokuro renginyje „</w:t>
      </w:r>
      <w:proofErr w:type="spellStart"/>
      <w:r w:rsidRPr="00833DEB">
        <w:rPr>
          <w:rFonts w:ascii="Arial" w:eastAsia="Arial" w:hAnsi="Arial" w:cs="Arial"/>
          <w:b/>
          <w:bCs/>
          <w:sz w:val="22"/>
          <w:szCs w:val="22"/>
          <w:lang w:val="lt-LT"/>
        </w:rPr>
        <w:t>Baltpool</w:t>
      </w:r>
      <w:proofErr w:type="spellEnd"/>
      <w:r w:rsidRPr="00833DEB">
        <w:rPr>
          <w:rFonts w:ascii="Arial" w:eastAsia="Arial" w:hAnsi="Arial" w:cs="Arial"/>
          <w:b/>
          <w:bCs/>
          <w:sz w:val="22"/>
          <w:szCs w:val="22"/>
          <w:lang w:val="lt-LT"/>
        </w:rPr>
        <w:t xml:space="preserve"> </w:t>
      </w:r>
      <w:proofErr w:type="spellStart"/>
      <w:r w:rsidRPr="00833DEB">
        <w:rPr>
          <w:rFonts w:ascii="Arial" w:eastAsia="Arial" w:hAnsi="Arial" w:cs="Arial"/>
          <w:b/>
          <w:bCs/>
          <w:sz w:val="22"/>
          <w:szCs w:val="22"/>
          <w:lang w:val="lt-LT"/>
        </w:rPr>
        <w:t>Biomass</w:t>
      </w:r>
      <w:proofErr w:type="spellEnd"/>
      <w:r w:rsidRPr="00833DEB">
        <w:rPr>
          <w:rFonts w:ascii="Arial" w:eastAsia="Arial" w:hAnsi="Arial" w:cs="Arial"/>
          <w:b/>
          <w:bCs/>
          <w:sz w:val="22"/>
          <w:szCs w:val="22"/>
          <w:lang w:val="lt-LT"/>
        </w:rPr>
        <w:t xml:space="preserve"> Day’26“, dalis skirtumų susiformavo dar sezono pradžioje, ypač rinkose, kur didesnę dalį sudarė trumpalaikiai sandoriai.</w:t>
      </w:r>
    </w:p>
    <w:p w14:paraId="0CC0237E" w14:textId="77777777" w:rsidR="007E7EC1" w:rsidRPr="00833DEB" w:rsidRDefault="007E7EC1" w:rsidP="007E7EC1">
      <w:pPr>
        <w:jc w:val="both"/>
        <w:rPr>
          <w:rFonts w:ascii="Arial" w:eastAsia="Arial" w:hAnsi="Arial" w:cs="Arial"/>
          <w:sz w:val="22"/>
          <w:szCs w:val="22"/>
          <w:lang w:val="lt-LT"/>
        </w:rPr>
      </w:pPr>
    </w:p>
    <w:p w14:paraId="421E55C4" w14:textId="77777777" w:rsidR="007E7EC1" w:rsidRPr="00833DEB" w:rsidRDefault="007E7EC1" w:rsidP="007E7EC1">
      <w:pPr>
        <w:jc w:val="both"/>
        <w:rPr>
          <w:rFonts w:ascii="Arial" w:eastAsia="Arial" w:hAnsi="Arial" w:cs="Arial"/>
          <w:b/>
          <w:bCs/>
          <w:sz w:val="22"/>
          <w:szCs w:val="22"/>
          <w:lang w:val="lt-LT"/>
        </w:rPr>
      </w:pPr>
      <w:r w:rsidRPr="00833DEB">
        <w:rPr>
          <w:rFonts w:ascii="Arial" w:eastAsia="Arial" w:hAnsi="Arial" w:cs="Arial"/>
          <w:b/>
          <w:bCs/>
          <w:sz w:val="22"/>
          <w:szCs w:val="22"/>
          <w:lang w:val="lt-LT"/>
        </w:rPr>
        <w:t>Lietuvoje biokuras brango labiausiai, Latvijoje kaina išliko stabiliausia</w:t>
      </w:r>
    </w:p>
    <w:p w14:paraId="20CD1480" w14:textId="77777777" w:rsidR="007E7EC1" w:rsidRPr="00833DEB" w:rsidRDefault="007E7EC1" w:rsidP="007E7EC1">
      <w:pPr>
        <w:jc w:val="both"/>
        <w:rPr>
          <w:rFonts w:ascii="Arial" w:eastAsia="Arial" w:hAnsi="Arial" w:cs="Arial"/>
          <w:sz w:val="22"/>
          <w:szCs w:val="22"/>
          <w:lang w:val="lt-LT"/>
        </w:rPr>
      </w:pPr>
    </w:p>
    <w:p w14:paraId="7698333C" w14:textId="77777777" w:rsidR="007E7EC1" w:rsidRPr="00833DEB" w:rsidRDefault="007E7EC1" w:rsidP="007E7EC1">
      <w:pPr>
        <w:jc w:val="both"/>
        <w:rPr>
          <w:rFonts w:ascii="Arial" w:eastAsia="Arial" w:hAnsi="Arial" w:cs="Arial"/>
          <w:sz w:val="22"/>
          <w:szCs w:val="22"/>
          <w:lang w:val="lt-LT"/>
        </w:rPr>
      </w:pPr>
      <w:r w:rsidRPr="00833DEB">
        <w:rPr>
          <w:rFonts w:ascii="Arial" w:eastAsia="Arial" w:hAnsi="Arial" w:cs="Arial"/>
          <w:sz w:val="22"/>
          <w:szCs w:val="22"/>
          <w:lang w:val="lt-LT"/>
        </w:rPr>
        <w:t xml:space="preserve">„Biokuro biržos prekybos duomenys rodo ryškius skirtumus. Latvijoje biokuro prekybos apimtis išaugo 23 proc., iki 0,6 </w:t>
      </w:r>
      <w:proofErr w:type="spellStart"/>
      <w:r w:rsidRPr="00833DEB">
        <w:rPr>
          <w:rFonts w:ascii="Arial" w:eastAsia="Arial" w:hAnsi="Arial" w:cs="Arial"/>
          <w:sz w:val="22"/>
          <w:szCs w:val="22"/>
          <w:lang w:val="lt-LT"/>
        </w:rPr>
        <w:t>TWh</w:t>
      </w:r>
      <w:proofErr w:type="spellEnd"/>
      <w:r w:rsidRPr="00833DEB">
        <w:rPr>
          <w:rFonts w:ascii="Arial" w:eastAsia="Arial" w:hAnsi="Arial" w:cs="Arial"/>
          <w:sz w:val="22"/>
          <w:szCs w:val="22"/>
          <w:lang w:val="lt-LT"/>
        </w:rPr>
        <w:t xml:space="preserve">, – tai sparčiausias augimas regione, o Lietuvoje buvo pastebimas nedidelis augimas – 4,5 proc., iki 4,5 </w:t>
      </w:r>
      <w:proofErr w:type="spellStart"/>
      <w:r w:rsidRPr="00833DEB">
        <w:rPr>
          <w:rFonts w:ascii="Arial" w:eastAsia="Arial" w:hAnsi="Arial" w:cs="Arial"/>
          <w:sz w:val="22"/>
          <w:szCs w:val="22"/>
          <w:lang w:val="lt-LT"/>
        </w:rPr>
        <w:t>TWh</w:t>
      </w:r>
      <w:proofErr w:type="spellEnd"/>
      <w:r w:rsidRPr="00833DEB">
        <w:rPr>
          <w:rFonts w:ascii="Arial" w:eastAsia="Arial" w:hAnsi="Arial" w:cs="Arial"/>
          <w:sz w:val="22"/>
          <w:szCs w:val="22"/>
          <w:lang w:val="lt-LT"/>
        </w:rPr>
        <w:t xml:space="preserve">. Visai priešingi duomenys Estijoje – ten prekyba sumažėjo net 24 proc., iki 0,35 </w:t>
      </w:r>
      <w:proofErr w:type="spellStart"/>
      <w:r w:rsidRPr="00833DEB">
        <w:rPr>
          <w:rFonts w:ascii="Arial" w:eastAsia="Arial" w:hAnsi="Arial" w:cs="Arial"/>
          <w:sz w:val="22"/>
          <w:szCs w:val="22"/>
          <w:lang w:val="lt-LT"/>
        </w:rPr>
        <w:t>TWh</w:t>
      </w:r>
      <w:proofErr w:type="spellEnd"/>
      <w:r w:rsidRPr="00833DEB">
        <w:rPr>
          <w:rFonts w:ascii="Arial" w:eastAsia="Arial" w:hAnsi="Arial" w:cs="Arial"/>
          <w:sz w:val="22"/>
          <w:szCs w:val="22"/>
          <w:lang w:val="lt-LT"/>
        </w:rPr>
        <w:t>“, – renginyje duomenis pristatė biokuro biržos „</w:t>
      </w:r>
      <w:proofErr w:type="spellStart"/>
      <w:r w:rsidRPr="00833DEB">
        <w:rPr>
          <w:rFonts w:ascii="Arial" w:eastAsia="Arial" w:hAnsi="Arial" w:cs="Arial"/>
          <w:sz w:val="22"/>
          <w:szCs w:val="22"/>
          <w:lang w:val="lt-LT"/>
        </w:rPr>
        <w:t>Baltpool</w:t>
      </w:r>
      <w:proofErr w:type="spellEnd"/>
      <w:r w:rsidRPr="00833DEB">
        <w:rPr>
          <w:rFonts w:ascii="Arial" w:eastAsia="Arial" w:hAnsi="Arial" w:cs="Arial"/>
          <w:sz w:val="22"/>
          <w:szCs w:val="22"/>
          <w:lang w:val="lt-LT"/>
        </w:rPr>
        <w:t>“ prekybos vadovas Vaidotas Jonutis.</w:t>
      </w:r>
    </w:p>
    <w:p w14:paraId="47F2829A" w14:textId="77777777" w:rsidR="007E7EC1" w:rsidRPr="00833DEB" w:rsidRDefault="007E7EC1" w:rsidP="007E7EC1">
      <w:pPr>
        <w:jc w:val="both"/>
        <w:rPr>
          <w:rFonts w:ascii="Arial" w:eastAsia="Arial" w:hAnsi="Arial" w:cs="Arial"/>
          <w:sz w:val="22"/>
          <w:szCs w:val="22"/>
          <w:lang w:val="lt-LT"/>
        </w:rPr>
      </w:pPr>
    </w:p>
    <w:p w14:paraId="3D8926E3" w14:textId="77777777" w:rsidR="007E7EC1" w:rsidRPr="00833DEB" w:rsidRDefault="007E7EC1" w:rsidP="007E7EC1">
      <w:pPr>
        <w:jc w:val="both"/>
        <w:rPr>
          <w:rFonts w:ascii="Arial" w:eastAsia="Arial" w:hAnsi="Arial" w:cs="Arial"/>
          <w:sz w:val="22"/>
          <w:szCs w:val="22"/>
          <w:lang w:val="lt-LT"/>
        </w:rPr>
      </w:pPr>
      <w:r w:rsidRPr="00833DEB">
        <w:rPr>
          <w:rFonts w:ascii="Arial" w:eastAsia="Arial" w:hAnsi="Arial" w:cs="Arial"/>
          <w:sz w:val="22"/>
          <w:szCs w:val="22"/>
          <w:lang w:val="lt-LT"/>
        </w:rPr>
        <w:t>Kainų pokyčiai tarp šalių skyrėsi dar labiau. Lietuvoje vidutinė sezono kaina siekė 25,13 Eur/MWh ir per metus padidėjo apie 13 proc. Latvijoje ji augo tik apie 3 proc., iki maždaug 23 Eur/MWh, o Estijoje – apie 8 proc., iki 24 Eur/MWh.</w:t>
      </w:r>
    </w:p>
    <w:p w14:paraId="51A59D3E" w14:textId="77777777" w:rsidR="007E7EC1" w:rsidRPr="00833DEB" w:rsidRDefault="007E7EC1" w:rsidP="007E7EC1">
      <w:pPr>
        <w:jc w:val="both"/>
        <w:rPr>
          <w:rFonts w:ascii="Arial" w:eastAsia="Arial" w:hAnsi="Arial" w:cs="Arial"/>
          <w:sz w:val="22"/>
          <w:szCs w:val="22"/>
          <w:lang w:val="lt-LT"/>
        </w:rPr>
      </w:pPr>
    </w:p>
    <w:p w14:paraId="598E3800" w14:textId="77777777" w:rsidR="007E7EC1" w:rsidRPr="00833DEB" w:rsidRDefault="007E7EC1" w:rsidP="007E7EC1">
      <w:pPr>
        <w:jc w:val="both"/>
        <w:rPr>
          <w:rFonts w:ascii="Arial" w:eastAsia="Arial" w:hAnsi="Arial" w:cs="Arial"/>
          <w:sz w:val="22"/>
          <w:szCs w:val="22"/>
          <w:lang w:val="lt-LT"/>
        </w:rPr>
      </w:pPr>
      <w:r w:rsidRPr="00833DEB">
        <w:rPr>
          <w:rFonts w:ascii="Arial" w:eastAsia="Arial" w:hAnsi="Arial" w:cs="Arial"/>
          <w:sz w:val="22"/>
          <w:szCs w:val="22"/>
          <w:lang w:val="lt-LT"/>
        </w:rPr>
        <w:t>Žiemą Lietuvoje biokuro kaina trumpai buvo pasiekusi apie 40 Eur/MWh, tačiau toks lygis laikėsi vos apie dvi savaites. Per šį laikotarpį pristatyta tik iki 10 proc. viso sezono biokuro kiekio, todėl šis kainų pikas turėjo ribotą įtaką galutiniam vidurkiui.</w:t>
      </w:r>
    </w:p>
    <w:p w14:paraId="40074818" w14:textId="77777777" w:rsidR="007E7EC1" w:rsidRPr="00833DEB" w:rsidRDefault="007E7EC1" w:rsidP="007E7EC1">
      <w:pPr>
        <w:jc w:val="both"/>
        <w:rPr>
          <w:rFonts w:ascii="Arial" w:eastAsia="Arial" w:hAnsi="Arial" w:cs="Arial"/>
          <w:sz w:val="22"/>
          <w:szCs w:val="22"/>
          <w:lang w:val="lt-LT"/>
        </w:rPr>
      </w:pPr>
    </w:p>
    <w:p w14:paraId="7265905D" w14:textId="77777777" w:rsidR="007E7EC1" w:rsidRPr="00833DEB" w:rsidRDefault="007E7EC1" w:rsidP="007E7EC1">
      <w:pPr>
        <w:jc w:val="both"/>
        <w:rPr>
          <w:rFonts w:ascii="Arial" w:eastAsia="Arial" w:hAnsi="Arial" w:cs="Arial"/>
          <w:sz w:val="22"/>
          <w:szCs w:val="22"/>
          <w:lang w:val="lt-LT"/>
        </w:rPr>
      </w:pPr>
      <w:r w:rsidRPr="00833DEB">
        <w:rPr>
          <w:rFonts w:ascii="Arial" w:eastAsia="Arial" w:hAnsi="Arial" w:cs="Arial"/>
          <w:sz w:val="22"/>
          <w:szCs w:val="22"/>
          <w:lang w:val="lt-LT"/>
        </w:rPr>
        <w:t>„Baltijos šalyse didžioji dalis biokuro sezonui buvo įsigyta iš anksto, sudarant ilgalaikius sandorius dar vasarą, kai rinkoje vyravo žemesnės kainos, o likusi dalis – trumpalaikiais sandoriais jau šildymo sezono metu. Pastarųjų kainos svyravo labiausiai. Per visą žiemos sezoną pagal „</w:t>
      </w:r>
      <w:proofErr w:type="spellStart"/>
      <w:r w:rsidRPr="00833DEB">
        <w:rPr>
          <w:rFonts w:ascii="Arial" w:eastAsia="Arial" w:hAnsi="Arial" w:cs="Arial"/>
          <w:sz w:val="22"/>
          <w:szCs w:val="22"/>
          <w:lang w:val="lt-LT"/>
        </w:rPr>
        <w:t>Baltpool</w:t>
      </w:r>
      <w:proofErr w:type="spellEnd"/>
      <w:r w:rsidRPr="00833DEB">
        <w:rPr>
          <w:rFonts w:ascii="Arial" w:eastAsia="Arial" w:hAnsi="Arial" w:cs="Arial"/>
          <w:sz w:val="22"/>
          <w:szCs w:val="22"/>
          <w:lang w:val="lt-LT"/>
        </w:rPr>
        <w:t>“ biržoje sudarytas sutartis buvo pristatyta 5,57 mln. MWh medienos skiedros energijos vertės už 140 mln. eurų, o jų svertinė vidutinė kaina sudarė 25,12 Eur/MWh, iš kurių 83 proc. kiekio buvo Lietuvai“, – teigė V. Jonutis.</w:t>
      </w:r>
    </w:p>
    <w:p w14:paraId="3D604336" w14:textId="77777777" w:rsidR="007E7EC1" w:rsidRPr="00833DEB" w:rsidRDefault="007E7EC1" w:rsidP="007E7EC1">
      <w:pPr>
        <w:jc w:val="both"/>
        <w:rPr>
          <w:rFonts w:ascii="Arial" w:eastAsia="Arial" w:hAnsi="Arial" w:cs="Arial"/>
          <w:sz w:val="22"/>
          <w:szCs w:val="22"/>
          <w:lang w:val="lt-LT"/>
        </w:rPr>
      </w:pPr>
    </w:p>
    <w:p w14:paraId="30FF392C" w14:textId="77777777" w:rsidR="007E7EC1" w:rsidRPr="00833DEB" w:rsidRDefault="007E7EC1" w:rsidP="007E7EC1">
      <w:pPr>
        <w:jc w:val="both"/>
        <w:rPr>
          <w:rFonts w:ascii="Arial" w:eastAsia="Arial" w:hAnsi="Arial" w:cs="Arial"/>
          <w:sz w:val="22"/>
          <w:szCs w:val="22"/>
          <w:lang w:val="lt-LT"/>
        </w:rPr>
      </w:pPr>
      <w:r w:rsidRPr="00833DEB">
        <w:rPr>
          <w:rFonts w:ascii="Arial" w:eastAsia="Arial" w:hAnsi="Arial" w:cs="Arial"/>
          <w:sz w:val="22"/>
          <w:szCs w:val="22"/>
          <w:lang w:val="lt-LT"/>
        </w:rPr>
        <w:t>Dar prieš sezoną sudaryti ilgalaikiai sandoriai visose Baltijos šalyse buvo panašūs – apie 20–22 Eur/MWh, todėl bazinis kainų lygis regione iš esmės nesiskyrė. Kainų skirtumai formavosi jau sezono metu. Latvijoje ir Estijoje ryškesnių kainų svyravimų biržoje nebuvo fiksuota, tikėtina, dėl didesnės ilgalaikių sandorių dalies šiose rinkose.</w:t>
      </w:r>
    </w:p>
    <w:p w14:paraId="4A411C8F" w14:textId="77777777" w:rsidR="007E7EC1" w:rsidRPr="00833DEB" w:rsidRDefault="007E7EC1" w:rsidP="007E7EC1">
      <w:pPr>
        <w:jc w:val="both"/>
        <w:rPr>
          <w:rFonts w:ascii="Arial" w:eastAsia="Arial" w:hAnsi="Arial" w:cs="Arial"/>
          <w:sz w:val="22"/>
          <w:szCs w:val="22"/>
          <w:lang w:val="lt-LT"/>
        </w:rPr>
      </w:pPr>
    </w:p>
    <w:p w14:paraId="3EF1700B" w14:textId="77777777" w:rsidR="007E7EC1" w:rsidRPr="00833DEB" w:rsidRDefault="007E7EC1" w:rsidP="007E7EC1">
      <w:pPr>
        <w:jc w:val="both"/>
        <w:rPr>
          <w:rFonts w:ascii="Arial" w:eastAsia="Arial" w:hAnsi="Arial" w:cs="Arial"/>
          <w:sz w:val="22"/>
          <w:szCs w:val="22"/>
          <w:lang w:val="lt-LT"/>
        </w:rPr>
      </w:pPr>
      <w:r w:rsidRPr="00833DEB">
        <w:rPr>
          <w:rFonts w:ascii="Arial" w:eastAsia="Arial" w:hAnsi="Arial" w:cs="Arial"/>
          <w:sz w:val="22"/>
          <w:szCs w:val="22"/>
          <w:lang w:val="lt-LT"/>
        </w:rPr>
        <w:t>Pasak biokuro rinkos eksperto, Lietuvoje sandorių struktūra buvo viena svarbiausių kainų augimo priežasčių. Trumpalaikiai sandoriai sudarė apie du trečdalius visos rinkos – 65,65 proc., o ilgalaikiai – 34,35 proc.</w:t>
      </w:r>
    </w:p>
    <w:p w14:paraId="4F642485" w14:textId="77777777" w:rsidR="007E7EC1" w:rsidRPr="00833DEB" w:rsidRDefault="007E7EC1" w:rsidP="007E7EC1">
      <w:pPr>
        <w:jc w:val="both"/>
        <w:rPr>
          <w:rFonts w:ascii="Arial" w:eastAsia="Arial" w:hAnsi="Arial" w:cs="Arial"/>
          <w:sz w:val="22"/>
          <w:szCs w:val="22"/>
          <w:lang w:val="lt-LT"/>
        </w:rPr>
      </w:pPr>
    </w:p>
    <w:p w14:paraId="4FD9E9F1" w14:textId="77777777" w:rsidR="007E7EC1" w:rsidRPr="00833DEB" w:rsidRDefault="007E7EC1" w:rsidP="007E7EC1">
      <w:pPr>
        <w:jc w:val="both"/>
        <w:rPr>
          <w:rFonts w:ascii="Arial" w:eastAsia="Arial" w:hAnsi="Arial" w:cs="Arial"/>
          <w:sz w:val="22"/>
          <w:szCs w:val="22"/>
          <w:lang w:val="lt-LT"/>
        </w:rPr>
      </w:pPr>
      <w:r w:rsidRPr="00833DEB">
        <w:rPr>
          <w:rFonts w:ascii="Arial" w:eastAsia="Arial" w:hAnsi="Arial" w:cs="Arial"/>
          <w:sz w:val="22"/>
          <w:szCs w:val="22"/>
          <w:lang w:val="lt-LT"/>
        </w:rPr>
        <w:t>„Tai rodo, kad Lietuvoje dar prieš sezoną buvo nupirkta tik apie trečdalį reikalingo biokuro, o likę kiekiai įsigyti jau šildymo sezono metu. Toks modelis padidina kainų svyravimų riziką. Būtent sezono vidurkis geriausiai atspindi realų rinkos kainų lygį, o ne trumpalaikiai SPOT kainų pikai. nepatenkinamas biokuro poreikis, kainą pradeda formuoti įvairūs momentiniai veiksniai“, – aiškino V. Jonutis.</w:t>
      </w:r>
    </w:p>
    <w:p w14:paraId="75F0A467" w14:textId="77777777" w:rsidR="007E7EC1" w:rsidRPr="00833DEB" w:rsidRDefault="007E7EC1" w:rsidP="007E7EC1">
      <w:pPr>
        <w:jc w:val="both"/>
        <w:rPr>
          <w:rFonts w:ascii="Arial" w:eastAsia="Arial" w:hAnsi="Arial" w:cs="Arial"/>
          <w:sz w:val="22"/>
          <w:szCs w:val="22"/>
          <w:lang w:val="lt-LT"/>
        </w:rPr>
      </w:pPr>
    </w:p>
    <w:p w14:paraId="2BE00C2A" w14:textId="77777777" w:rsidR="007E7EC1" w:rsidRPr="00833DEB" w:rsidRDefault="007E7EC1" w:rsidP="007E7EC1">
      <w:pPr>
        <w:jc w:val="both"/>
        <w:rPr>
          <w:rFonts w:ascii="Arial" w:eastAsia="Arial" w:hAnsi="Arial" w:cs="Arial"/>
          <w:b/>
          <w:bCs/>
          <w:sz w:val="22"/>
          <w:szCs w:val="22"/>
          <w:lang w:val="lt-LT"/>
        </w:rPr>
      </w:pPr>
      <w:r w:rsidRPr="00833DEB">
        <w:rPr>
          <w:rFonts w:ascii="Arial" w:eastAsia="Arial" w:hAnsi="Arial" w:cs="Arial"/>
          <w:b/>
          <w:bCs/>
          <w:sz w:val="22"/>
          <w:szCs w:val="22"/>
          <w:lang w:val="lt-LT"/>
        </w:rPr>
        <w:lastRenderedPageBreak/>
        <w:t>Sezono sąlygos padidino kainų svyravimus</w:t>
      </w:r>
    </w:p>
    <w:p w14:paraId="4D3F6DC4" w14:textId="77777777" w:rsidR="007E7EC1" w:rsidRPr="00833DEB" w:rsidRDefault="007E7EC1" w:rsidP="007E7EC1">
      <w:pPr>
        <w:jc w:val="both"/>
        <w:rPr>
          <w:rFonts w:ascii="Arial" w:eastAsia="Arial" w:hAnsi="Arial" w:cs="Arial"/>
          <w:sz w:val="22"/>
          <w:szCs w:val="22"/>
          <w:lang w:val="lt-LT"/>
        </w:rPr>
      </w:pPr>
    </w:p>
    <w:p w14:paraId="1562CF1F" w14:textId="77777777" w:rsidR="007E7EC1" w:rsidRPr="00833DEB" w:rsidRDefault="007E7EC1" w:rsidP="007E7EC1">
      <w:pPr>
        <w:jc w:val="both"/>
        <w:rPr>
          <w:rFonts w:ascii="Arial" w:eastAsia="Arial" w:hAnsi="Arial" w:cs="Arial"/>
          <w:sz w:val="22"/>
          <w:szCs w:val="22"/>
          <w:lang w:val="lt-LT"/>
        </w:rPr>
      </w:pPr>
      <w:r w:rsidRPr="00833DEB">
        <w:rPr>
          <w:rFonts w:ascii="Arial" w:eastAsia="Arial" w:hAnsi="Arial" w:cs="Arial"/>
          <w:sz w:val="22"/>
          <w:szCs w:val="22"/>
          <w:lang w:val="lt-LT"/>
        </w:rPr>
        <w:t>Sezono sąlygos padidino kainų svyravimus</w:t>
      </w:r>
    </w:p>
    <w:p w14:paraId="0AB0A6B7" w14:textId="77777777" w:rsidR="007E7EC1" w:rsidRPr="00833DEB" w:rsidRDefault="007E7EC1" w:rsidP="007E7EC1">
      <w:pPr>
        <w:jc w:val="both"/>
        <w:rPr>
          <w:rFonts w:ascii="Arial" w:eastAsia="Arial" w:hAnsi="Arial" w:cs="Arial"/>
          <w:sz w:val="22"/>
          <w:szCs w:val="22"/>
          <w:lang w:val="lt-LT"/>
        </w:rPr>
      </w:pPr>
      <w:r w:rsidRPr="00833DEB">
        <w:rPr>
          <w:rFonts w:ascii="Arial" w:eastAsia="Arial" w:hAnsi="Arial" w:cs="Arial"/>
          <w:sz w:val="22"/>
          <w:szCs w:val="22"/>
          <w:lang w:val="lt-LT"/>
        </w:rPr>
        <w:t>Biokuro kainų skirtumus lemia ne tik paklausa, bet ir oro sąlygos bei bendras pasirengimas sezonui, įskaitant gamybos ir tiekimo veiksnius. Sezono temperatūros analizė rodo, kad, vertinant įprastą intervalą nuo +10 iki –5 °C, žiemos sąlygos buvo panašios į ankstesnius metus. Tačiau 2025–2026 m. sezonu reikšmingai išaugo valandų skaičius, kai temperatūra buvo nukritusi žemiau –5 °C.</w:t>
      </w:r>
    </w:p>
    <w:p w14:paraId="35F874C7" w14:textId="77777777" w:rsidR="007E7EC1" w:rsidRPr="00833DEB" w:rsidRDefault="007E7EC1" w:rsidP="007E7EC1">
      <w:pPr>
        <w:jc w:val="both"/>
        <w:rPr>
          <w:rFonts w:ascii="Arial" w:eastAsia="Arial" w:hAnsi="Arial" w:cs="Arial"/>
          <w:sz w:val="22"/>
          <w:szCs w:val="22"/>
          <w:lang w:val="lt-LT"/>
        </w:rPr>
      </w:pPr>
    </w:p>
    <w:p w14:paraId="17A4B5E9" w14:textId="77777777" w:rsidR="007E7EC1" w:rsidRPr="00833DEB" w:rsidRDefault="007E7EC1" w:rsidP="007E7EC1">
      <w:pPr>
        <w:jc w:val="both"/>
        <w:rPr>
          <w:rFonts w:ascii="Arial" w:eastAsia="Arial" w:hAnsi="Arial" w:cs="Arial"/>
          <w:sz w:val="22"/>
          <w:szCs w:val="22"/>
          <w:lang w:val="lt-LT"/>
        </w:rPr>
      </w:pPr>
      <w:r w:rsidRPr="00833DEB">
        <w:rPr>
          <w:rFonts w:ascii="Arial" w:eastAsia="Arial" w:hAnsi="Arial" w:cs="Arial"/>
          <w:sz w:val="22"/>
          <w:szCs w:val="22"/>
          <w:lang w:val="lt-LT"/>
        </w:rPr>
        <w:t>Kaip teigė V. Jonutis, šie laikotarpiai turėjo tiesioginį poveikį rinkai.</w:t>
      </w:r>
    </w:p>
    <w:p w14:paraId="24E3674A" w14:textId="77777777" w:rsidR="007E7EC1" w:rsidRPr="00833DEB" w:rsidRDefault="007E7EC1" w:rsidP="007E7EC1">
      <w:pPr>
        <w:jc w:val="both"/>
        <w:rPr>
          <w:rFonts w:ascii="Arial" w:eastAsia="Arial" w:hAnsi="Arial" w:cs="Arial"/>
          <w:sz w:val="22"/>
          <w:szCs w:val="22"/>
          <w:lang w:val="lt-LT"/>
        </w:rPr>
      </w:pPr>
    </w:p>
    <w:p w14:paraId="42FE4BD6" w14:textId="77777777" w:rsidR="007E7EC1" w:rsidRPr="00833DEB" w:rsidRDefault="007E7EC1" w:rsidP="007E7EC1">
      <w:pPr>
        <w:jc w:val="both"/>
        <w:rPr>
          <w:rFonts w:ascii="Arial" w:eastAsia="Arial" w:hAnsi="Arial" w:cs="Arial"/>
          <w:sz w:val="22"/>
          <w:szCs w:val="22"/>
          <w:lang w:val="lt-LT"/>
        </w:rPr>
      </w:pPr>
      <w:r w:rsidRPr="00833DEB">
        <w:rPr>
          <w:rFonts w:ascii="Arial" w:eastAsia="Arial" w:hAnsi="Arial" w:cs="Arial"/>
          <w:sz w:val="22"/>
          <w:szCs w:val="22"/>
          <w:lang w:val="lt-LT"/>
        </w:rPr>
        <w:t>„Pirma, smarkiai padidėjo šilumos energijos poreikis, todėl buvo įjungti rezerviniai įrenginiai, dažnai naudojantys dujas. Antra, dėl staigaus šalčio sutriko biokuro tiekimas – dėl sudėtingų oro sąlygų privažiuoti prie miškų buvo sudėtingiau, o logistika – lėtesnė, todėl pasiūla trumpuoju laikotarpiu sumažėjo. Susidarė situacija, kai paklausa trumpam išaugo, o pasiūla tapo mažiau lanksti. Tai ir lėmė kainų šuolį iki 40 Eur/MWh ribos Lietuvoje“, – analizavo ekspertas.</w:t>
      </w:r>
    </w:p>
    <w:p w14:paraId="30B0354C" w14:textId="77777777" w:rsidR="007E7EC1" w:rsidRPr="00833DEB" w:rsidRDefault="007E7EC1" w:rsidP="007E7EC1">
      <w:pPr>
        <w:jc w:val="both"/>
        <w:rPr>
          <w:rFonts w:ascii="Arial" w:eastAsia="Arial" w:hAnsi="Arial" w:cs="Arial"/>
          <w:sz w:val="22"/>
          <w:szCs w:val="22"/>
          <w:lang w:val="lt-LT"/>
        </w:rPr>
      </w:pPr>
    </w:p>
    <w:p w14:paraId="72F9754E" w14:textId="77777777" w:rsidR="007E7EC1" w:rsidRPr="00833DEB" w:rsidRDefault="007E7EC1" w:rsidP="007E7EC1">
      <w:pPr>
        <w:jc w:val="both"/>
        <w:rPr>
          <w:rFonts w:ascii="Arial" w:eastAsia="Arial" w:hAnsi="Arial" w:cs="Arial"/>
          <w:sz w:val="22"/>
          <w:szCs w:val="22"/>
          <w:lang w:val="lt-LT"/>
        </w:rPr>
      </w:pPr>
      <w:r w:rsidRPr="00833DEB">
        <w:rPr>
          <w:rFonts w:ascii="Arial" w:eastAsia="Arial" w:hAnsi="Arial" w:cs="Arial"/>
          <w:sz w:val="22"/>
          <w:szCs w:val="22"/>
          <w:lang w:val="lt-LT"/>
        </w:rPr>
        <w:t>Biokuro sektorius iš esmės veikia kaip ciklinė rinka, kurioje investicijos daromos iš anksto, o galutinė kaina paaiškėja tik vėliau. Rinkos jautrumą papildomai didino ir riboti biokuro sandėliavimo pajėgumai, kurie sumažino galimybes amortizuoti trumpalaikius tiekimo sutrikimus.</w:t>
      </w:r>
    </w:p>
    <w:p w14:paraId="6716233A" w14:textId="77777777" w:rsidR="007E7EC1" w:rsidRPr="00833DEB" w:rsidRDefault="007E7EC1" w:rsidP="007E7EC1">
      <w:pPr>
        <w:jc w:val="both"/>
        <w:rPr>
          <w:rFonts w:ascii="Arial" w:eastAsia="Arial" w:hAnsi="Arial" w:cs="Arial"/>
          <w:sz w:val="22"/>
          <w:szCs w:val="22"/>
          <w:lang w:val="lt-LT"/>
        </w:rPr>
      </w:pPr>
    </w:p>
    <w:p w14:paraId="57524581" w14:textId="77777777" w:rsidR="007E7EC1" w:rsidRPr="00833DEB" w:rsidRDefault="007E7EC1" w:rsidP="007E7EC1">
      <w:pPr>
        <w:jc w:val="both"/>
        <w:rPr>
          <w:rFonts w:ascii="Arial" w:eastAsia="Arial" w:hAnsi="Arial" w:cs="Arial"/>
          <w:sz w:val="22"/>
          <w:szCs w:val="22"/>
          <w:lang w:val="lt-LT"/>
        </w:rPr>
      </w:pPr>
      <w:r w:rsidRPr="00833DEB">
        <w:rPr>
          <w:rFonts w:ascii="Arial" w:eastAsia="Arial" w:hAnsi="Arial" w:cs="Arial"/>
          <w:sz w:val="22"/>
          <w:szCs w:val="22"/>
          <w:lang w:val="lt-LT"/>
        </w:rPr>
        <w:t>„Tai rizika, kuri šiandien daugiausia tenka tiekėjams, tačiau ilgainiui ji turėtų būti labiau pasidalinta tarp pirkėjų ir pardavėjų. Vienas esminių sprendimų – diversifikacija, t. y. tinkama ilgalaikių ir trumpalaikių sandorių pusiausvyra, – teigė V. Jonutis ir pridūrė: – Kitas iš galimų sprendimų būdų – papildyti sandorių krepšelį indeksuotais sandoriais. Šiuo metu</w:t>
      </w:r>
      <w:r w:rsidRPr="00833DEB">
        <w:t xml:space="preserve"> </w:t>
      </w:r>
      <w:r w:rsidRPr="00833DEB">
        <w:rPr>
          <w:rFonts w:ascii="Arial" w:eastAsia="Arial" w:hAnsi="Arial" w:cs="Arial"/>
          <w:sz w:val="22"/>
          <w:szCs w:val="22"/>
          <w:lang w:val="lt-LT"/>
        </w:rPr>
        <w:t>indeksuoti sandoriai sudaro nedidelę rinkos dalį, tačiau jie leistų susieti kainą su rinkos indeksais ir sumažinti staigių svyravimų poveikį. Pastarųjų kaina siejama su „</w:t>
      </w:r>
      <w:proofErr w:type="spellStart"/>
      <w:r w:rsidRPr="00833DEB">
        <w:rPr>
          <w:rFonts w:ascii="Arial" w:eastAsia="Arial" w:hAnsi="Arial" w:cs="Arial"/>
          <w:sz w:val="22"/>
          <w:szCs w:val="22"/>
          <w:lang w:val="lt-LT"/>
        </w:rPr>
        <w:t>Baltpool</w:t>
      </w:r>
      <w:proofErr w:type="spellEnd"/>
      <w:r w:rsidRPr="00833DEB">
        <w:rPr>
          <w:rFonts w:ascii="Arial" w:eastAsia="Arial" w:hAnsi="Arial" w:cs="Arial"/>
          <w:sz w:val="22"/>
          <w:szCs w:val="22"/>
          <w:lang w:val="lt-LT"/>
        </w:rPr>
        <w:t>“ SPOT kainos indeksu, todėl jie suteikia trumpalaikių sandorių lankstumą, bet išlaiko ilgalaikiams sandoriams būdingą rizikos pasidalijimą.“</w:t>
      </w:r>
    </w:p>
    <w:p w14:paraId="0A41531D" w14:textId="77777777" w:rsidR="007E7EC1" w:rsidRPr="00833DEB" w:rsidRDefault="007E7EC1" w:rsidP="007E7EC1">
      <w:pPr>
        <w:jc w:val="both"/>
        <w:rPr>
          <w:rFonts w:ascii="Arial" w:eastAsia="Arial" w:hAnsi="Arial" w:cs="Arial"/>
          <w:sz w:val="22"/>
          <w:szCs w:val="22"/>
          <w:lang w:val="lt-LT"/>
        </w:rPr>
      </w:pPr>
    </w:p>
    <w:p w14:paraId="071E2C92" w14:textId="77777777" w:rsidR="007E7EC1" w:rsidRPr="00833DEB" w:rsidRDefault="007E7EC1" w:rsidP="007E7EC1">
      <w:pPr>
        <w:jc w:val="both"/>
        <w:rPr>
          <w:rFonts w:ascii="Arial" w:eastAsia="Arial" w:hAnsi="Arial" w:cs="Arial"/>
          <w:b/>
          <w:bCs/>
          <w:sz w:val="22"/>
          <w:szCs w:val="22"/>
          <w:lang w:val="lt-LT"/>
        </w:rPr>
      </w:pPr>
      <w:r w:rsidRPr="00833DEB">
        <w:rPr>
          <w:rFonts w:ascii="Arial" w:eastAsia="Arial" w:hAnsi="Arial" w:cs="Arial"/>
          <w:b/>
          <w:bCs/>
          <w:sz w:val="22"/>
          <w:szCs w:val="22"/>
          <w:lang w:val="lt-LT"/>
        </w:rPr>
        <w:t>Rinkos dalyviai į kitą sezoną žvelgia atsargiai</w:t>
      </w:r>
    </w:p>
    <w:p w14:paraId="2BA096E3" w14:textId="77777777" w:rsidR="007E7EC1" w:rsidRPr="00833DEB" w:rsidRDefault="007E7EC1" w:rsidP="007E7EC1">
      <w:pPr>
        <w:jc w:val="both"/>
        <w:rPr>
          <w:rFonts w:ascii="Arial" w:eastAsia="Arial" w:hAnsi="Arial" w:cs="Arial"/>
          <w:sz w:val="22"/>
          <w:szCs w:val="22"/>
          <w:lang w:val="lt-LT"/>
        </w:rPr>
      </w:pPr>
    </w:p>
    <w:p w14:paraId="4AC93EA2" w14:textId="77777777" w:rsidR="007E7EC1" w:rsidRDefault="007E7EC1" w:rsidP="007E7EC1">
      <w:pPr>
        <w:jc w:val="both"/>
        <w:rPr>
          <w:rFonts w:ascii="Arial" w:eastAsia="Arial" w:hAnsi="Arial" w:cs="Arial"/>
          <w:sz w:val="22"/>
          <w:szCs w:val="22"/>
        </w:rPr>
      </w:pPr>
      <w:r>
        <w:rPr>
          <w:rFonts w:ascii="Arial" w:eastAsia="Arial" w:hAnsi="Arial" w:cs="Arial"/>
          <w:sz w:val="22"/>
          <w:szCs w:val="22"/>
        </w:rPr>
        <w:t>Rinkos dalyviai jau vertina 2026–2027 m. sezono perspektyvas, kurios formuojasi atsižvelgiant į tebevykstančius globalius pokyčius. Energetikos žaliavų kainos pasaulyje auga: dujos, nafta ir anglys brangsta dėl geopolitinių veiksnių, o dyzelino kaina Baltijos šalyse per metus padidėjo apie 30 proc. ir tiesiogiai išaugino biokuro savikainą.</w:t>
      </w:r>
    </w:p>
    <w:p w14:paraId="2574A139" w14:textId="77777777" w:rsidR="007E7EC1" w:rsidRDefault="007E7EC1" w:rsidP="007E7EC1">
      <w:pPr>
        <w:jc w:val="both"/>
        <w:rPr>
          <w:rFonts w:ascii="Arial" w:eastAsia="Arial" w:hAnsi="Arial" w:cs="Arial"/>
          <w:sz w:val="22"/>
          <w:szCs w:val="22"/>
        </w:rPr>
      </w:pPr>
    </w:p>
    <w:p w14:paraId="0659CF6B" w14:textId="77777777" w:rsidR="007E7EC1" w:rsidRDefault="007E7EC1" w:rsidP="007E7EC1">
      <w:pPr>
        <w:jc w:val="both"/>
        <w:rPr>
          <w:rFonts w:ascii="Arial" w:eastAsia="Arial" w:hAnsi="Arial" w:cs="Arial"/>
          <w:sz w:val="22"/>
          <w:szCs w:val="22"/>
        </w:rPr>
      </w:pPr>
      <w:r>
        <w:rPr>
          <w:rFonts w:ascii="Arial" w:eastAsia="Arial" w:hAnsi="Arial" w:cs="Arial"/>
          <w:sz w:val="22"/>
          <w:szCs w:val="22"/>
        </w:rPr>
        <w:t xml:space="preserve">„Esant tokioms sąlygoms, tikėtina, kad ilgalaikių sandorių kainodaroje vis dažniau bus taikomas vadinamasis laikymo kaštų (angl. </w:t>
      </w:r>
      <w:proofErr w:type="spellStart"/>
      <w:r w:rsidRPr="00D467B1">
        <w:rPr>
          <w:rFonts w:ascii="Arial" w:eastAsia="Arial" w:hAnsi="Arial" w:cs="Arial"/>
          <w:i/>
          <w:iCs/>
          <w:sz w:val="22"/>
          <w:szCs w:val="22"/>
        </w:rPr>
        <w:t>cost</w:t>
      </w:r>
      <w:proofErr w:type="spellEnd"/>
      <w:r w:rsidRPr="00D467B1">
        <w:rPr>
          <w:rFonts w:ascii="Arial" w:eastAsia="Arial" w:hAnsi="Arial" w:cs="Arial"/>
          <w:i/>
          <w:iCs/>
          <w:sz w:val="22"/>
          <w:szCs w:val="22"/>
        </w:rPr>
        <w:t xml:space="preserve"> of </w:t>
      </w:r>
      <w:proofErr w:type="spellStart"/>
      <w:r w:rsidRPr="00D467B1">
        <w:rPr>
          <w:rFonts w:ascii="Arial" w:eastAsia="Arial" w:hAnsi="Arial" w:cs="Arial"/>
          <w:i/>
          <w:iCs/>
          <w:sz w:val="22"/>
          <w:szCs w:val="22"/>
        </w:rPr>
        <w:t>carry</w:t>
      </w:r>
      <w:proofErr w:type="spellEnd"/>
      <w:r>
        <w:rPr>
          <w:rFonts w:ascii="Arial" w:eastAsia="Arial" w:hAnsi="Arial" w:cs="Arial"/>
          <w:sz w:val="22"/>
          <w:szCs w:val="22"/>
        </w:rPr>
        <w:t>) metodas, kai kaina nustatoma pagal esamas sąnaudas. Tai reiškia, kad sudaryti ilgalaikes sutartis gali tapti sudėtingiau, o rinkos stabilumas vis labiau priklausys nuo pasirinktų pirkimo strategijų“, – teigia V. Jonutis.</w:t>
      </w:r>
    </w:p>
    <w:p w14:paraId="3E76E8D4" w14:textId="77777777" w:rsidR="007E7EC1" w:rsidRDefault="007E7EC1" w:rsidP="007E7EC1">
      <w:pPr>
        <w:jc w:val="both"/>
        <w:rPr>
          <w:rFonts w:ascii="Arial" w:eastAsia="Arial" w:hAnsi="Arial" w:cs="Arial"/>
          <w:sz w:val="22"/>
          <w:szCs w:val="22"/>
        </w:rPr>
      </w:pPr>
    </w:p>
    <w:p w14:paraId="72CEE641" w14:textId="77777777" w:rsidR="007E7EC1" w:rsidRDefault="007E7EC1" w:rsidP="007E7EC1">
      <w:pPr>
        <w:jc w:val="both"/>
        <w:rPr>
          <w:rFonts w:ascii="Arial" w:eastAsia="Arial" w:hAnsi="Arial" w:cs="Arial"/>
          <w:sz w:val="22"/>
          <w:szCs w:val="22"/>
        </w:rPr>
      </w:pPr>
      <w:r>
        <w:rPr>
          <w:rFonts w:ascii="Arial" w:eastAsia="Arial" w:hAnsi="Arial" w:cs="Arial"/>
          <w:sz w:val="22"/>
          <w:szCs w:val="22"/>
        </w:rPr>
        <w:t>„Ruošiantis naujam sezonui, rinkos dalyviams teks rinktis arba didesnį stabilumą, kurį suteikia sandorių trukmės diversifikacija, arba didesnę riziką, atsirandančią dėl priklausomybės nuo trumpalaikės rinkos. Net jei artėjantis sezonas būtų ramesnis, disciplinuota pirkimų strategija išliks vienu svarbiausių veiksnių siekiant išvengti naujų kainų šuolių“, – kitų metų prognozę apibendrina biokuro rinkos ekspertas.</w:t>
      </w:r>
    </w:p>
    <w:p w14:paraId="06643245" w14:textId="77777777" w:rsidR="007E7EC1" w:rsidRDefault="007E7EC1" w:rsidP="007E7EC1">
      <w:pPr>
        <w:jc w:val="both"/>
        <w:rPr>
          <w:rFonts w:ascii="Arial" w:eastAsia="Arial" w:hAnsi="Arial" w:cs="Arial"/>
          <w:sz w:val="22"/>
          <w:szCs w:val="22"/>
          <w:lang w:val="lt-LT"/>
        </w:rPr>
      </w:pPr>
    </w:p>
    <w:p w14:paraId="667A9AFF" w14:textId="77777777" w:rsidR="002B6AC0" w:rsidRDefault="002B6AC0" w:rsidP="007E7EC1">
      <w:pPr>
        <w:jc w:val="both"/>
        <w:rPr>
          <w:rFonts w:ascii="Arial" w:eastAsia="Arial" w:hAnsi="Arial" w:cs="Arial"/>
          <w:sz w:val="22"/>
          <w:szCs w:val="22"/>
          <w:lang w:val="lt-LT"/>
        </w:rPr>
      </w:pPr>
    </w:p>
    <w:p w14:paraId="73C6D40C" w14:textId="77777777" w:rsidR="002B6AC0" w:rsidRPr="00833DEB" w:rsidRDefault="002B6AC0" w:rsidP="007E7EC1">
      <w:pPr>
        <w:jc w:val="both"/>
        <w:rPr>
          <w:rFonts w:ascii="Arial" w:eastAsia="Arial" w:hAnsi="Arial" w:cs="Arial"/>
          <w:sz w:val="22"/>
          <w:szCs w:val="22"/>
          <w:lang w:val="lt-LT"/>
        </w:rPr>
      </w:pPr>
    </w:p>
    <w:p w14:paraId="63A18E23" w14:textId="77777777" w:rsidR="003F2DE3" w:rsidRDefault="003F2DE3">
      <w:pPr>
        <w:jc w:val="both"/>
        <w:rPr>
          <w:rFonts w:ascii="Arial" w:eastAsia="Arial" w:hAnsi="Arial" w:cs="Arial"/>
          <w:sz w:val="22"/>
          <w:szCs w:val="22"/>
        </w:rPr>
      </w:pPr>
    </w:p>
    <w:p w14:paraId="47D6C2B6" w14:textId="77777777" w:rsidR="0088336F" w:rsidRDefault="00000000">
      <w:pPr>
        <w:jc w:val="both"/>
        <w:rPr>
          <w:rFonts w:ascii="Arial" w:eastAsia="Arial" w:hAnsi="Arial" w:cs="Arial"/>
          <w:b/>
          <w:bCs/>
          <w:sz w:val="20"/>
          <w:szCs w:val="20"/>
        </w:rPr>
      </w:pPr>
      <w:r>
        <w:rPr>
          <w:rFonts w:ascii="Arial" w:eastAsia="Arial" w:hAnsi="Arial" w:cs="Arial"/>
          <w:b/>
          <w:bCs/>
          <w:sz w:val="20"/>
          <w:szCs w:val="20"/>
        </w:rPr>
        <w:lastRenderedPageBreak/>
        <w:t>APIE:</w:t>
      </w:r>
    </w:p>
    <w:p w14:paraId="14F88C79" w14:textId="77777777" w:rsidR="0088336F" w:rsidRDefault="0088336F">
      <w:pPr>
        <w:rPr>
          <w:rFonts w:ascii="Arial" w:eastAsia="Arial" w:hAnsi="Arial" w:cs="Arial"/>
          <w:sz w:val="20"/>
          <w:szCs w:val="20"/>
        </w:rPr>
      </w:pPr>
    </w:p>
    <w:p w14:paraId="59DDCA5D" w14:textId="77777777" w:rsidR="0088336F" w:rsidRDefault="00000000">
      <w:pPr>
        <w:jc w:val="both"/>
        <w:rPr>
          <w:rFonts w:ascii="Arial" w:eastAsia="Arial" w:hAnsi="Arial" w:cs="Arial"/>
          <w:b/>
          <w:bCs/>
          <w:sz w:val="20"/>
          <w:szCs w:val="20"/>
        </w:rPr>
      </w:pPr>
      <w:r>
        <w:rPr>
          <w:rFonts w:ascii="Arial" w:eastAsia="Arial" w:hAnsi="Arial" w:cs="Arial"/>
          <w:b/>
          <w:bCs/>
          <w:sz w:val="20"/>
          <w:szCs w:val="20"/>
        </w:rPr>
        <w:t>„</w:t>
      </w:r>
      <w:proofErr w:type="spellStart"/>
      <w:r>
        <w:rPr>
          <w:rFonts w:ascii="Arial" w:eastAsia="Arial" w:hAnsi="Arial" w:cs="Arial"/>
          <w:b/>
          <w:bCs/>
          <w:sz w:val="20"/>
          <w:szCs w:val="20"/>
        </w:rPr>
        <w:t>Baltpool</w:t>
      </w:r>
      <w:proofErr w:type="spellEnd"/>
      <w:r>
        <w:rPr>
          <w:rFonts w:ascii="Arial" w:eastAsia="Arial" w:hAnsi="Arial" w:cs="Arial"/>
          <w:b/>
          <w:bCs/>
          <w:sz w:val="20"/>
          <w:szCs w:val="20"/>
        </w:rPr>
        <w:t>“</w:t>
      </w:r>
      <w:r>
        <w:rPr>
          <w:rFonts w:ascii="Arial" w:eastAsia="Arial" w:hAnsi="Arial" w:cs="Arial"/>
          <w:sz w:val="20"/>
          <w:szCs w:val="20"/>
        </w:rPr>
        <w:t xml:space="preserve"> yra tarptautinė biokuro birža ir rinkos operatorius, įsteigtas 2012</w:t>
      </w:r>
      <w:r w:rsidR="00C164E9">
        <w:rPr>
          <w:rFonts w:ascii="Arial" w:eastAsia="Arial" w:hAnsi="Arial" w:cs="Arial"/>
          <w:sz w:val="20"/>
          <w:szCs w:val="20"/>
        </w:rPr>
        <w:t> </w:t>
      </w:r>
      <w:r>
        <w:rPr>
          <w:rFonts w:ascii="Arial" w:eastAsia="Arial" w:hAnsi="Arial" w:cs="Arial"/>
          <w:sz w:val="20"/>
          <w:szCs w:val="20"/>
        </w:rPr>
        <w:t xml:space="preserve">m. ir tapęs pirmąja organizuota biokuro prekybos platforma Europoje. Bendrovė kuria skaitmeninius, standartizuotus rinkos sprendimus, kurie leidžia vykdyti tvarią ir efektyvią prekybą bioenergija, </w:t>
      </w:r>
      <w:r w:rsidR="00C164E9">
        <w:rPr>
          <w:rFonts w:ascii="Arial" w:eastAsia="Arial" w:hAnsi="Arial" w:cs="Arial"/>
          <w:sz w:val="20"/>
          <w:szCs w:val="20"/>
        </w:rPr>
        <w:t>kartu</w:t>
      </w:r>
      <w:r>
        <w:rPr>
          <w:rFonts w:ascii="Arial" w:eastAsia="Arial" w:hAnsi="Arial" w:cs="Arial"/>
          <w:sz w:val="20"/>
          <w:szCs w:val="20"/>
        </w:rPr>
        <w:t xml:space="preserve"> užtikrin</w:t>
      </w:r>
      <w:r w:rsidR="00C164E9">
        <w:rPr>
          <w:rFonts w:ascii="Arial" w:eastAsia="Arial" w:hAnsi="Arial" w:cs="Arial"/>
          <w:sz w:val="20"/>
          <w:szCs w:val="20"/>
        </w:rPr>
        <w:t>dama</w:t>
      </w:r>
      <w:r>
        <w:rPr>
          <w:rFonts w:ascii="Arial" w:eastAsia="Arial" w:hAnsi="Arial" w:cs="Arial"/>
          <w:sz w:val="20"/>
          <w:szCs w:val="20"/>
        </w:rPr>
        <w:t xml:space="preserve"> skaidrumą, patikimumą ir pasitikėjimą fragmentuotose biokuro rinkose. Veikianti visame Baltijos jūros regione, „</w:t>
      </w:r>
      <w:proofErr w:type="spellStart"/>
      <w:r>
        <w:rPr>
          <w:rFonts w:ascii="Arial" w:eastAsia="Arial" w:hAnsi="Arial" w:cs="Arial"/>
          <w:sz w:val="20"/>
          <w:szCs w:val="20"/>
        </w:rPr>
        <w:t>Baltpool</w:t>
      </w:r>
      <w:proofErr w:type="spellEnd"/>
      <w:r>
        <w:rPr>
          <w:rFonts w:ascii="Arial" w:eastAsia="Arial" w:hAnsi="Arial" w:cs="Arial"/>
          <w:sz w:val="20"/>
          <w:szCs w:val="20"/>
        </w:rPr>
        <w:t>“ palaiko energetinį saugumą ir perėjimą prie bioenergijos kaip integruotos energetikos sistemos dalį. „</w:t>
      </w:r>
      <w:proofErr w:type="spellStart"/>
      <w:r>
        <w:rPr>
          <w:rFonts w:ascii="Arial" w:eastAsia="Arial" w:hAnsi="Arial" w:cs="Arial"/>
          <w:sz w:val="20"/>
          <w:szCs w:val="20"/>
        </w:rPr>
        <w:t>Baltpool</w:t>
      </w:r>
      <w:proofErr w:type="spellEnd"/>
      <w:r>
        <w:rPr>
          <w:rFonts w:ascii="Arial" w:eastAsia="Arial" w:hAnsi="Arial" w:cs="Arial"/>
          <w:sz w:val="20"/>
          <w:szCs w:val="20"/>
        </w:rPr>
        <w:t xml:space="preserve">“ priklauso naujosios energetikos įmonių </w:t>
      </w:r>
      <w:r w:rsidR="00C164E9">
        <w:rPr>
          <w:rFonts w:ascii="Arial" w:eastAsia="Arial" w:hAnsi="Arial" w:cs="Arial"/>
          <w:sz w:val="20"/>
          <w:szCs w:val="20"/>
        </w:rPr>
        <w:t>g</w:t>
      </w:r>
      <w:r>
        <w:rPr>
          <w:rFonts w:ascii="Arial" w:eastAsia="Arial" w:hAnsi="Arial" w:cs="Arial"/>
          <w:sz w:val="20"/>
          <w:szCs w:val="20"/>
        </w:rPr>
        <w:t>rupei EPSO-G, jos veikla yra prižiūrima Valstybinės energetikos reguliavimo tarybos (VERT). 2026</w:t>
      </w:r>
      <w:r w:rsidR="00C164E9">
        <w:rPr>
          <w:rFonts w:ascii="Arial" w:eastAsia="Arial" w:hAnsi="Arial" w:cs="Arial"/>
          <w:sz w:val="20"/>
          <w:szCs w:val="20"/>
        </w:rPr>
        <w:t> </w:t>
      </w:r>
      <w:r>
        <w:rPr>
          <w:rFonts w:ascii="Arial" w:eastAsia="Arial" w:hAnsi="Arial" w:cs="Arial"/>
          <w:sz w:val="20"/>
          <w:szCs w:val="20"/>
        </w:rPr>
        <w:t>m. balandį bendrovė paskelbė pradėjusi strateginį bendradarbiavimą su Europos energijos birža (EEX), siekdam</w:t>
      </w:r>
      <w:r w:rsidR="00C164E9">
        <w:rPr>
          <w:rFonts w:ascii="Arial" w:eastAsia="Arial" w:hAnsi="Arial" w:cs="Arial"/>
          <w:sz w:val="20"/>
          <w:szCs w:val="20"/>
        </w:rPr>
        <w:t>a</w:t>
      </w:r>
      <w:r>
        <w:rPr>
          <w:rFonts w:ascii="Arial" w:eastAsia="Arial" w:hAnsi="Arial" w:cs="Arial"/>
          <w:sz w:val="20"/>
          <w:szCs w:val="20"/>
        </w:rPr>
        <w:t xml:space="preserve"> kurti skaidrią, organizuotą ir efektyvią biokuro rinką Vokietijoje. Daugiau informacijos: </w:t>
      </w:r>
      <w:hyperlink r:id="rId7">
        <w:r w:rsidR="0088336F">
          <w:rPr>
            <w:rFonts w:ascii="Arial" w:eastAsia="Arial" w:hAnsi="Arial" w:cs="Arial"/>
            <w:color w:val="1155CC"/>
            <w:sz w:val="20"/>
            <w:szCs w:val="20"/>
            <w:u w:val="single"/>
          </w:rPr>
          <w:t>www.baltpool.eu</w:t>
        </w:r>
      </w:hyperlink>
      <w:r>
        <w:rPr>
          <w:rFonts w:ascii="Arial" w:eastAsia="Arial" w:hAnsi="Arial" w:cs="Arial"/>
          <w:sz w:val="20"/>
          <w:szCs w:val="20"/>
        </w:rPr>
        <w:t xml:space="preserve"> </w:t>
      </w:r>
    </w:p>
    <w:p w14:paraId="73F7DAEA" w14:textId="6D0AA9D3" w:rsidR="00FD5DB4" w:rsidRPr="00FD5DB4" w:rsidRDefault="00FD5DB4">
      <w:pPr>
        <w:jc w:val="both"/>
        <w:rPr>
          <w:rFonts w:ascii="Arial" w:eastAsia="Arial" w:hAnsi="Arial" w:cs="Arial"/>
          <w:b/>
          <w:bCs/>
          <w:sz w:val="20"/>
          <w:szCs w:val="20"/>
        </w:rPr>
        <w:sectPr w:rsidR="00FD5DB4" w:rsidRPr="00FD5DB4">
          <w:headerReference w:type="default" r:id="rId8"/>
          <w:footerReference w:type="even" r:id="rId9"/>
          <w:footerReference w:type="default" r:id="rId10"/>
          <w:headerReference w:type="first" r:id="rId11"/>
          <w:pgSz w:w="11906" w:h="16838"/>
          <w:pgMar w:top="2410" w:right="906" w:bottom="1843" w:left="1077" w:header="288" w:footer="288" w:gutter="0"/>
          <w:pgNumType w:start="1"/>
          <w:cols w:space="720"/>
          <w:titlePg/>
        </w:sectPr>
      </w:pPr>
    </w:p>
    <w:p w14:paraId="09E5E97A" w14:textId="24D3BEF2" w:rsidR="00FD5DB4" w:rsidRPr="00FD5DB4" w:rsidRDefault="00FD5DB4" w:rsidP="00FD5DB4">
      <w:pPr>
        <w:jc w:val="both"/>
        <w:rPr>
          <w:rFonts w:ascii="Arial" w:eastAsia="Arial" w:hAnsi="Arial" w:cs="Arial"/>
          <w:sz w:val="20"/>
          <w:szCs w:val="20"/>
          <w:lang w:val="en-US"/>
        </w:rPr>
      </w:pPr>
    </w:p>
    <w:sectPr w:rsidR="00FD5DB4" w:rsidRPr="00FD5DB4" w:rsidSect="003F2DE3">
      <w:headerReference w:type="default" r:id="rId12"/>
      <w:footerReference w:type="even" r:id="rId13"/>
      <w:footerReference w:type="default" r:id="rId14"/>
      <w:headerReference w:type="first" r:id="rId15"/>
      <w:footerReference w:type="first" r:id="rId16"/>
      <w:type w:val="continuous"/>
      <w:pgSz w:w="11906" w:h="16838"/>
      <w:pgMar w:top="2410" w:right="906" w:bottom="1843" w:left="1077" w:header="709" w:footer="49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3531DB" w14:textId="77777777" w:rsidR="00EB061C" w:rsidRDefault="00EB061C">
      <w:r>
        <w:separator/>
      </w:r>
    </w:p>
  </w:endnote>
  <w:endnote w:type="continuationSeparator" w:id="0">
    <w:p w14:paraId="0069CBAD" w14:textId="77777777" w:rsidR="00EB061C" w:rsidRDefault="00EB06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4709ECB-106B-461A-82E8-8FEE7CFD350D}"/>
  </w:font>
  <w:font w:name="Cambria">
    <w:panose1 w:val="02040503050406030204"/>
    <w:charset w:val="00"/>
    <w:family w:val="roman"/>
    <w:pitch w:val="variable"/>
    <w:sig w:usb0="E00006FF" w:usb1="420024FF" w:usb2="02000000" w:usb3="00000000" w:csb0="0000019F" w:csb1="00000000"/>
    <w:embedRegular r:id="rId2" w:fontKey="{61CEC2D8-ECA3-4286-A2E9-2DB3DE0EF8B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6F522" w14:textId="77777777" w:rsidR="0088336F" w:rsidRDefault="00000000">
    <w:pPr>
      <w:pBdr>
        <w:top w:val="nil"/>
        <w:left w:val="nil"/>
        <w:bottom w:val="nil"/>
        <w:right w:val="nil"/>
        <w:between w:val="nil"/>
      </w:pBdr>
      <w:tabs>
        <w:tab w:val="center" w:pos="4536"/>
        <w:tab w:val="right" w:pos="9072"/>
      </w:tabs>
      <w:rPr>
        <w:rFonts w:ascii="Arial" w:eastAsia="Arial" w:hAnsi="Arial" w:cs="Arial"/>
        <w:color w:val="000000"/>
        <w:sz w:val="20"/>
        <w:szCs w:val="20"/>
      </w:rPr>
    </w:pPr>
    <w:r>
      <w:rPr>
        <w:noProof/>
      </w:rPr>
      <mc:AlternateContent>
        <mc:Choice Requires="wps">
          <w:drawing>
            <wp:anchor distT="0" distB="0" distL="0" distR="0" simplePos="0" relativeHeight="251664384" behindDoc="0" locked="0" layoutInCell="1" hidden="0" allowOverlap="1" wp14:anchorId="03EE0FCD" wp14:editId="5EE0CB17">
              <wp:simplePos x="0" y="0"/>
              <wp:positionH relativeFrom="column">
                <wp:posOffset>2346643</wp:posOffset>
              </wp:positionH>
              <wp:positionV relativeFrom="paragraph">
                <wp:posOffset>-9522</wp:posOffset>
              </wp:positionV>
              <wp:extent cx="330200" cy="364490"/>
              <wp:effectExtent l="0" t="0" r="0" b="0"/>
              <wp:wrapNone/>
              <wp:docPr id="3" name="Rectangle 3" descr="Public"/>
              <wp:cNvGraphicFramePr/>
              <a:graphic xmlns:a="http://schemas.openxmlformats.org/drawingml/2006/main">
                <a:graphicData uri="http://schemas.microsoft.com/office/word/2010/wordprocessingShape">
                  <wps:wsp>
                    <wps:cNvSpPr/>
                    <wps:spPr>
                      <a:xfrm>
                        <a:off x="5190425" y="3607280"/>
                        <a:ext cx="311150" cy="345440"/>
                      </a:xfrm>
                      <a:prstGeom prst="rect">
                        <a:avLst/>
                      </a:prstGeom>
                      <a:noFill/>
                      <a:ln>
                        <a:noFill/>
                      </a:ln>
                    </wps:spPr>
                    <wps:txbx>
                      <w:txbxContent>
                        <w:p w14:paraId="40F96CBE" w14:textId="77777777" w:rsidR="0088336F" w:rsidRDefault="00000000">
                          <w:pPr>
                            <w:textDirection w:val="btLr"/>
                          </w:pPr>
                          <w:proofErr w:type="spellStart"/>
                          <w:r>
                            <w:rPr>
                              <w:rFonts w:ascii="Calibri" w:eastAsia="Calibri" w:hAnsi="Calibri" w:cs="Calibri"/>
                              <w:color w:val="000000"/>
                            </w:rPr>
                            <w:t>Public</w:t>
                          </w:r>
                          <w:proofErr w:type="spellEnd"/>
                        </w:p>
                      </w:txbxContent>
                    </wps:txbx>
                    <wps:bodyPr spcFirstLastPara="1" wrap="square" lIns="0" tIns="0" rIns="0" bIns="190500" anchor="b" anchorCtr="0">
                      <a:noAutofit/>
                    </wps:bodyPr>
                  </wps:wsp>
                </a:graphicData>
              </a:graphic>
            </wp:anchor>
          </w:drawing>
        </mc:Choice>
        <mc:Fallback>
          <w:pict>
            <v:rect w14:anchorId="03EE0FCD" id="Rectangle 3" o:spid="_x0000_s1027" alt="Public" style="position:absolute;margin-left:184.8pt;margin-top:-.75pt;width:26pt;height:28.7pt;z-index:251664384;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RuAEAAFUDAAAOAAAAZHJzL2Uyb0RvYy54bWysU9tu2zAMfR+wfxD0vthO464zohTDigwD&#10;ii1Auw+QZSkWYEsaqcTO349Sk2aXt2EvNEUS5DmH9Pp+Hgd21IDWO8GrRcmZdsp31u0F//68fXfH&#10;GUbpOjl4pwU/aeT3m7dv1lNo9NL3fug0MGrisJmC4H2MoSkKVL0eJS580I6SxsMoIz1hX3QgJ+o+&#10;DsWyLG+LyUMXwCuNSNGHlyTf5P7GaBW/GYM6skFwwhazhWzbZIvNWjZ7kKG36gxD/gOKUVpHQ19b&#10;Pcgo2QHsX61Gq8CjN3Gh/Fh4Y6zSmQOxqco/2Dz1MujMhcTB8CoT/r+26uvxKeyAZJgCNkhuYjEb&#10;GNOX8LFZ8Lr6UK6WNWcnwW9uy/fLu7Nweo5MUcFNVVU1yatSwaperXK+uDYKgPGz9iNLjuBAe8ly&#10;yeMjRhpOpZeSNNf5rR2GvJvB/RagwhQprmiTF+d2ZrajA0wLTZHWd6cdMAxqa2nko8S4k0CrrTib&#10;aN2C44+DBM3Z8MWRnuk2Lg5cnDY7RL4uKS+d6j2dTntxP8V8SC/4Ph6iNzZzuc4/A6XdZYrnO0vH&#10;8es7V13/hs1PAAAA//8DAFBLAwQUAAYACAAAACEATrL3Tt8AAAAJAQAADwAAAGRycy9kb3ducmV2&#10;LnhtbEyPwU7DMAyG70i8Q2QkblvaQSvW1Z1gEkLiRlfY1WuytqxxqibbytsTTuNo+9Pv78/Xk+nF&#10;WY+us4wQzyMQmmurOm4Qqu3r7AmE88SKessa4Uc7WBe3Nzllyl74Q59L34gQwi4jhNb7IZPS1a02&#10;5OZ20BxuBzsa8mEcG6lGuoRw08tFFKXSUMfhQ0uD3rS6PpYng/BOm5dv9VltD21yLG1Fb/6r2iHe&#10;303PKxBeT/4Kw59+UIciOO3tiZUTPcJDukwDijCLExABeFzEYbFHSJIlyCKX/xsUvwAAAP//AwBQ&#10;SwECLQAUAAYACAAAACEAtoM4kv4AAADhAQAAEwAAAAAAAAAAAAAAAAAAAAAAW0NvbnRlbnRfVHlw&#10;ZXNdLnhtbFBLAQItABQABgAIAAAAIQA4/SH/1gAAAJQBAAALAAAAAAAAAAAAAAAAAC8BAABfcmVs&#10;cy8ucmVsc1BLAQItABQABgAIAAAAIQD5+H2RuAEAAFUDAAAOAAAAAAAAAAAAAAAAAC4CAABkcnMv&#10;ZTJvRG9jLnhtbFBLAQItABQABgAIAAAAIQBOsvdO3wAAAAkBAAAPAAAAAAAAAAAAAAAAABIEAABk&#10;cnMvZG93bnJldi54bWxQSwUGAAAAAAQABADzAAAAHgUAAAAA&#10;" filled="f" stroked="f">
              <v:textbox inset="0,0,0,15pt">
                <w:txbxContent>
                  <w:p w14:paraId="40F96CBE" w14:textId="77777777" w:rsidR="0088336F" w:rsidRDefault="00000000">
                    <w:pPr>
                      <w:textDirection w:val="btLr"/>
                    </w:pPr>
                    <w:proofErr w:type="spellStart"/>
                    <w:r>
                      <w:rPr>
                        <w:rFonts w:ascii="Calibri" w:eastAsia="Calibri" w:hAnsi="Calibri" w:cs="Calibri"/>
                        <w:color w:val="000000"/>
                      </w:rPr>
                      <w:t>Public</w:t>
                    </w:r>
                    <w:proofErr w:type="spellEnd"/>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AC56D" w14:textId="77777777" w:rsidR="0088336F" w:rsidRDefault="00000000">
    <w:pPr>
      <w:pBdr>
        <w:top w:val="nil"/>
        <w:left w:val="nil"/>
        <w:bottom w:val="nil"/>
        <w:right w:val="nil"/>
        <w:between w:val="nil"/>
      </w:pBdr>
      <w:tabs>
        <w:tab w:val="right" w:pos="9639"/>
      </w:tabs>
      <w:rPr>
        <w:rFonts w:ascii="Arial" w:eastAsia="Arial" w:hAnsi="Arial" w:cs="Arial"/>
        <w:b/>
        <w:bCs/>
        <w:color w:val="000000"/>
        <w:sz w:val="20"/>
        <w:szCs w:val="20"/>
      </w:rPr>
    </w:pPr>
    <w:r>
      <w:rPr>
        <w:rFonts w:ascii="Arial" w:eastAsia="Arial" w:hAnsi="Arial" w:cs="Arial"/>
        <w:color w:val="FFFFFF"/>
        <w:sz w:val="20"/>
        <w:szCs w:val="20"/>
      </w:rPr>
      <w:fldChar w:fldCharType="begin"/>
    </w:r>
    <w:r>
      <w:rPr>
        <w:rFonts w:ascii="Arial" w:eastAsia="Arial" w:hAnsi="Arial" w:cs="Arial"/>
        <w:color w:val="FFFFFF"/>
        <w:sz w:val="20"/>
        <w:szCs w:val="20"/>
      </w:rPr>
      <w:instrText>PAGE</w:instrText>
    </w:r>
    <w:r>
      <w:rPr>
        <w:rFonts w:ascii="Arial" w:eastAsia="Arial" w:hAnsi="Arial" w:cs="Arial"/>
        <w:color w:val="FFFFFF"/>
        <w:sz w:val="20"/>
        <w:szCs w:val="20"/>
      </w:rPr>
      <w:fldChar w:fldCharType="separate"/>
    </w:r>
    <w:r w:rsidR="003F2DE3">
      <w:rPr>
        <w:rFonts w:ascii="Arial" w:eastAsia="Arial" w:hAnsi="Arial" w:cs="Arial"/>
        <w:noProof/>
        <w:color w:val="FFFFFF"/>
        <w:sz w:val="20"/>
        <w:szCs w:val="20"/>
      </w:rPr>
      <w:t>2</w:t>
    </w:r>
    <w:r>
      <w:rPr>
        <w:rFonts w:ascii="Arial" w:eastAsia="Arial" w:hAnsi="Arial" w:cs="Arial"/>
        <w:color w:val="FFFFFF"/>
        <w:sz w:val="20"/>
        <w:szCs w:val="20"/>
      </w:rPr>
      <w:fldChar w:fldCharType="end"/>
    </w:r>
    <w:r>
      <w:rPr>
        <w:rFonts w:ascii="Arial" w:eastAsia="Arial" w:hAnsi="Arial" w:cs="Arial"/>
        <w:color w:val="FFFFFF"/>
        <w:sz w:val="20"/>
        <w:szCs w:val="20"/>
      </w:rPr>
      <w:t>/</w:t>
    </w:r>
    <w:r>
      <w:rPr>
        <w:rFonts w:ascii="Arial" w:eastAsia="Arial" w:hAnsi="Arial" w:cs="Arial"/>
        <w:color w:val="FFFFFF"/>
        <w:sz w:val="20"/>
        <w:szCs w:val="20"/>
      </w:rPr>
      <w:fldChar w:fldCharType="begin"/>
    </w:r>
    <w:r>
      <w:rPr>
        <w:rFonts w:ascii="Arial" w:eastAsia="Arial" w:hAnsi="Arial" w:cs="Arial"/>
        <w:color w:val="FFFFFF"/>
        <w:sz w:val="20"/>
        <w:szCs w:val="20"/>
      </w:rPr>
      <w:instrText>NUMPAGES</w:instrText>
    </w:r>
    <w:r>
      <w:rPr>
        <w:rFonts w:ascii="Arial" w:eastAsia="Arial" w:hAnsi="Arial" w:cs="Arial"/>
        <w:color w:val="FFFFFF"/>
        <w:sz w:val="20"/>
        <w:szCs w:val="20"/>
      </w:rPr>
      <w:fldChar w:fldCharType="separate"/>
    </w:r>
    <w:r w:rsidR="003F2DE3">
      <w:rPr>
        <w:rFonts w:ascii="Arial" w:eastAsia="Arial" w:hAnsi="Arial" w:cs="Arial"/>
        <w:noProof/>
        <w:color w:val="FFFFFF"/>
        <w:sz w:val="20"/>
        <w:szCs w:val="20"/>
      </w:rPr>
      <w:t>3</w:t>
    </w:r>
    <w:r>
      <w:rPr>
        <w:rFonts w:ascii="Arial" w:eastAsia="Arial" w:hAnsi="Arial" w:cs="Arial"/>
        <w:color w:val="FFFFFF"/>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93BC6" w14:textId="77777777" w:rsidR="0088336F" w:rsidRDefault="00000000">
    <w:pPr>
      <w:pBdr>
        <w:top w:val="nil"/>
        <w:left w:val="nil"/>
        <w:bottom w:val="nil"/>
        <w:right w:val="nil"/>
        <w:between w:val="nil"/>
      </w:pBdr>
      <w:tabs>
        <w:tab w:val="center" w:pos="4536"/>
        <w:tab w:val="right" w:pos="9072"/>
      </w:tabs>
      <w:rPr>
        <w:rFonts w:ascii="Arial" w:eastAsia="Arial" w:hAnsi="Arial" w:cs="Arial"/>
        <w:color w:val="000000"/>
        <w:sz w:val="20"/>
        <w:szCs w:val="20"/>
      </w:rPr>
    </w:pPr>
    <w:r>
      <w:rPr>
        <w:noProof/>
      </w:rPr>
      <mc:AlternateContent>
        <mc:Choice Requires="wps">
          <w:drawing>
            <wp:anchor distT="0" distB="0" distL="0" distR="0" simplePos="0" relativeHeight="251675648" behindDoc="0" locked="0" layoutInCell="1" hidden="0" allowOverlap="1" wp14:anchorId="21938DC4" wp14:editId="34B2550C">
              <wp:simplePos x="0" y="0"/>
              <wp:positionH relativeFrom="column">
                <wp:posOffset>2346643</wp:posOffset>
              </wp:positionH>
              <wp:positionV relativeFrom="paragraph">
                <wp:posOffset>-9522</wp:posOffset>
              </wp:positionV>
              <wp:extent cx="330200" cy="364490"/>
              <wp:effectExtent l="0" t="0" r="0" b="0"/>
              <wp:wrapNone/>
              <wp:docPr id="8" name="Rectangle 8" descr="Public"/>
              <wp:cNvGraphicFramePr/>
              <a:graphic xmlns:a="http://schemas.openxmlformats.org/drawingml/2006/main">
                <a:graphicData uri="http://schemas.microsoft.com/office/word/2010/wordprocessingShape">
                  <wps:wsp>
                    <wps:cNvSpPr/>
                    <wps:spPr>
                      <a:xfrm>
                        <a:off x="5190425" y="3607280"/>
                        <a:ext cx="311150" cy="345440"/>
                      </a:xfrm>
                      <a:prstGeom prst="rect">
                        <a:avLst/>
                      </a:prstGeom>
                      <a:noFill/>
                      <a:ln>
                        <a:noFill/>
                      </a:ln>
                    </wps:spPr>
                    <wps:txbx>
                      <w:txbxContent>
                        <w:p w14:paraId="2A9ABE11" w14:textId="77777777" w:rsidR="0088336F" w:rsidRDefault="00000000">
                          <w:pPr>
                            <w:textDirection w:val="btLr"/>
                          </w:pPr>
                          <w:proofErr w:type="spellStart"/>
                          <w:r>
                            <w:rPr>
                              <w:rFonts w:ascii="Calibri" w:eastAsia="Calibri" w:hAnsi="Calibri" w:cs="Calibri"/>
                              <w:color w:val="000000"/>
                            </w:rPr>
                            <w:t>Public</w:t>
                          </w:r>
                          <w:proofErr w:type="spellEnd"/>
                        </w:p>
                      </w:txbxContent>
                    </wps:txbx>
                    <wps:bodyPr spcFirstLastPara="1" wrap="square" lIns="0" tIns="0" rIns="0" bIns="190500" anchor="b" anchorCtr="0">
                      <a:noAutofit/>
                    </wps:bodyPr>
                  </wps:wsp>
                </a:graphicData>
              </a:graphic>
            </wp:anchor>
          </w:drawing>
        </mc:Choice>
        <mc:Fallback>
          <w:pict>
            <v:rect w14:anchorId="21938DC4" id="Rectangle 8" o:spid="_x0000_s1029" alt="Public" style="position:absolute;margin-left:184.8pt;margin-top:-.75pt;width:26pt;height:28.7pt;z-index:251675648;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Q44twEAAFUDAAAOAAAAZHJzL2Uyb0RvYy54bWysU9tu2zAMfR+wfxD0vthO464zohTDigwD&#10;ii1Auw+QZSkWYEsaqcTO349Sk2aXt2Ev9BFJHPKQ9Pp+Hgd21IDWO8GrRcmZdsp31u0F//68fXfH&#10;GUbpOjl4pwU/aeT3m7dv1lNo9NL3fug0MCJx2ExB8D7G0BQFql6PEhc+aEdB42GUkZ6wLzqQE7GP&#10;Q7Esy9ti8tAF8EojkvfhJcg3md8YreI3Y1BHNghOvcVsIds22WKzls0eZOitOrch/6GLUVpHRV+p&#10;HmSU7AD2L6rRKvDoTVwoPxbeGKt01kBqqvIPNU+9DDproeFgeB0T/j9a9fX4FHZAY5gCNkgwqZgN&#10;jOlL/bFZ8Lr6UK6WNWcnwW9uy/fLu/Pg9ByZooSbqqpqGq9KCat6tcrx4koUAONn7UeWgOBAe8nj&#10;ksdHjFScUi8pqa7zWzsMeTeD+81BiclTXLtNKM7tzGxHxdNCk6f13WkHDIPaWir5KDHuJNBqK84m&#10;Wrfg+OMgQXM2fHE0z3QbFwAX0GZA4uuS4tKp3tPptBf4KeZDeunv4yF6Y7OWa/1zo7S7LPF8Z+k4&#10;fn3nrOvfsPkJAAD//wMAUEsDBBQABgAIAAAAIQBOsvdO3wAAAAkBAAAPAAAAZHJzL2Rvd25yZXYu&#10;eG1sTI/BTsMwDIbvSLxDZCRuW9pBK9bVnWASQuJGV9jVa7K2rHGqJtvK2xNO42j70+/vz9eT6cVZ&#10;j66zjBDPIxCaa6s6bhCq7evsCYTzxIp6yxrhRztYF7c3OWXKXvhDn0vfiBDCLiOE1vshk9LVrTbk&#10;5nbQHG4HOxryYRwbqUa6hHDTy0UUpdJQx+FDS4PetLo+lieD8E6bl2/1WW0PbXIsbUVv/qvaId7f&#10;Tc8rEF5P/grDn35QhyI47e2JlRM9wkO6TAOKMIsTEAF4XMRhsUdIkiXIIpf/GxS/AAAA//8DAFBL&#10;AQItABQABgAIAAAAIQC2gziS/gAAAOEBAAATAAAAAAAAAAAAAAAAAAAAAABbQ29udGVudF9UeXBl&#10;c10ueG1sUEsBAi0AFAAGAAgAAAAhADj9If/WAAAAlAEAAAsAAAAAAAAAAAAAAAAALwEAAF9yZWxz&#10;Ly5yZWxzUEsBAi0AFAAGAAgAAAAhAIK5Dji3AQAAVQMAAA4AAAAAAAAAAAAAAAAALgIAAGRycy9l&#10;Mm9Eb2MueG1sUEsBAi0AFAAGAAgAAAAhAE6y907fAAAACQEAAA8AAAAAAAAAAAAAAAAAEQQAAGRy&#10;cy9kb3ducmV2LnhtbFBLBQYAAAAABAAEAPMAAAAdBQAAAAA=&#10;" filled="f" stroked="f">
              <v:textbox inset="0,0,0,15pt">
                <w:txbxContent>
                  <w:p w14:paraId="2A9ABE11" w14:textId="77777777" w:rsidR="0088336F" w:rsidRDefault="00000000">
                    <w:pPr>
                      <w:textDirection w:val="btLr"/>
                    </w:pPr>
                    <w:proofErr w:type="spellStart"/>
                    <w:r>
                      <w:rPr>
                        <w:rFonts w:ascii="Calibri" w:eastAsia="Calibri" w:hAnsi="Calibri" w:cs="Calibri"/>
                        <w:color w:val="000000"/>
                      </w:rPr>
                      <w:t>Public</w:t>
                    </w:r>
                    <w:proofErr w:type="spellEnd"/>
                  </w:p>
                </w:txbxContent>
              </v:textbox>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C9DF5" w14:textId="77777777" w:rsidR="0088336F" w:rsidRDefault="0088336F">
    <w:pPr>
      <w:pBdr>
        <w:top w:val="nil"/>
        <w:left w:val="nil"/>
        <w:bottom w:val="nil"/>
        <w:right w:val="nil"/>
        <w:between w:val="nil"/>
      </w:pBdr>
      <w:tabs>
        <w:tab w:val="right" w:pos="9639"/>
      </w:tabs>
      <w:rPr>
        <w:rFonts w:ascii="Arial" w:eastAsia="Arial" w:hAnsi="Arial" w:cs="Arial"/>
        <w:b/>
        <w:bCs/>
        <w:color w:val="000000"/>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0C0E8D" w14:textId="77777777" w:rsidR="0088336F" w:rsidRDefault="00000000">
    <w:pPr>
      <w:pBdr>
        <w:top w:val="nil"/>
        <w:left w:val="nil"/>
        <w:bottom w:val="nil"/>
        <w:right w:val="nil"/>
        <w:between w:val="nil"/>
      </w:pBdr>
      <w:tabs>
        <w:tab w:val="right" w:pos="9639"/>
      </w:tabs>
      <w:rPr>
        <w:rFonts w:ascii="Arial" w:eastAsia="Arial" w:hAnsi="Arial" w:cs="Arial"/>
        <w:b/>
        <w:bCs/>
        <w:color w:val="000000"/>
        <w:sz w:val="20"/>
        <w:szCs w:val="20"/>
      </w:rPr>
    </w:pPr>
    <w:r>
      <w:rPr>
        <w:rFonts w:ascii="Arial" w:eastAsia="Arial" w:hAnsi="Arial" w:cs="Arial"/>
        <w:b/>
        <w:bCs/>
        <w:color w:val="000000"/>
        <w:sz w:val="20"/>
        <w:szCs w:val="20"/>
      </w:rPr>
      <w:t xml:space="preserve">EEX and </w:t>
    </w:r>
    <w:proofErr w:type="spellStart"/>
    <w:r>
      <w:rPr>
        <w:rFonts w:ascii="Arial" w:eastAsia="Arial" w:hAnsi="Arial" w:cs="Arial"/>
        <w:b/>
        <w:bCs/>
        <w:color w:val="000000"/>
        <w:sz w:val="20"/>
        <w:szCs w:val="20"/>
      </w:rPr>
      <w:t>Baltpool</w:t>
    </w:r>
    <w:proofErr w:type="spellEnd"/>
    <w:r>
      <w:rPr>
        <w:rFonts w:ascii="Arial" w:eastAsia="Arial" w:hAnsi="Arial" w:cs="Arial"/>
        <w:b/>
        <w:bCs/>
        <w:color w:val="000000"/>
        <w:sz w:val="20"/>
        <w:szCs w:val="20"/>
      </w:rPr>
      <w:t xml:space="preserve"> </w:t>
    </w:r>
    <w:proofErr w:type="spellStart"/>
    <w:r>
      <w:rPr>
        <w:rFonts w:ascii="Arial" w:eastAsia="Arial" w:hAnsi="Arial" w:cs="Arial"/>
        <w:b/>
        <w:bCs/>
        <w:color w:val="000000"/>
        <w:sz w:val="20"/>
        <w:szCs w:val="20"/>
      </w:rPr>
      <w:t>cooperation</w:t>
    </w:r>
    <w:proofErr w:type="spellEnd"/>
    <w:r>
      <w:rPr>
        <w:rFonts w:ascii="Arial" w:eastAsia="Arial" w:hAnsi="Arial" w:cs="Arial"/>
        <w:b/>
        <w:bCs/>
        <w:color w:val="000000"/>
        <w:sz w:val="20"/>
        <w:szCs w:val="20"/>
      </w:rPr>
      <w:t xml:space="preserve"> </w:t>
    </w:r>
    <w:proofErr w:type="spellStart"/>
    <w:r>
      <w:rPr>
        <w:rFonts w:ascii="Arial" w:eastAsia="Arial" w:hAnsi="Arial" w:cs="Arial"/>
        <w:b/>
        <w:bCs/>
        <w:color w:val="000000"/>
        <w:sz w:val="20"/>
        <w:szCs w:val="20"/>
      </w:rPr>
      <w:t>on</w:t>
    </w:r>
    <w:proofErr w:type="spellEnd"/>
    <w:r>
      <w:rPr>
        <w:rFonts w:ascii="Arial" w:eastAsia="Arial" w:hAnsi="Arial" w:cs="Arial"/>
        <w:b/>
        <w:bCs/>
        <w:color w:val="000000"/>
        <w:sz w:val="20"/>
        <w:szCs w:val="20"/>
      </w:rPr>
      <w:t xml:space="preserve"> </w:t>
    </w:r>
    <w:proofErr w:type="spellStart"/>
    <w:r>
      <w:rPr>
        <w:rFonts w:ascii="Arial" w:eastAsia="Arial" w:hAnsi="Arial" w:cs="Arial"/>
        <w:b/>
        <w:bCs/>
        <w:color w:val="000000"/>
        <w:sz w:val="20"/>
        <w:szCs w:val="20"/>
      </w:rPr>
      <w:t>biomass</w:t>
    </w:r>
    <w:proofErr w:type="spellEnd"/>
    <w:r>
      <w:rPr>
        <w:rFonts w:ascii="Arial" w:eastAsia="Arial" w:hAnsi="Arial" w:cs="Arial"/>
        <w:b/>
        <w:bCs/>
        <w:color w:val="000000"/>
        <w:sz w:val="20"/>
        <w:szCs w:val="20"/>
      </w:rPr>
      <w:tab/>
    </w:r>
    <w:proofErr w:type="spellStart"/>
    <w:r>
      <w:rPr>
        <w:rFonts w:ascii="Arial" w:eastAsia="Arial" w:hAnsi="Arial" w:cs="Arial"/>
        <w:b/>
        <w:bCs/>
        <w:color w:val="FFFFFF"/>
        <w:sz w:val="20"/>
        <w:szCs w:val="20"/>
      </w:rPr>
      <w:t>Page</w:t>
    </w:r>
    <w:proofErr w:type="spellEnd"/>
    <w:r>
      <w:rPr>
        <w:noProof/>
      </w:rPr>
      <mc:AlternateContent>
        <mc:Choice Requires="wps">
          <w:drawing>
            <wp:anchor distT="0" distB="0" distL="0" distR="0" simplePos="0" relativeHeight="251671552" behindDoc="1" locked="0" layoutInCell="1" hidden="0" allowOverlap="1" wp14:anchorId="7F4EC227" wp14:editId="0B7B603C">
              <wp:simplePos x="0" y="0"/>
              <wp:positionH relativeFrom="column">
                <wp:posOffset>3645855</wp:posOffset>
              </wp:positionH>
              <wp:positionV relativeFrom="paragraph">
                <wp:posOffset>-9522</wp:posOffset>
              </wp:positionV>
              <wp:extent cx="2071050" cy="904650"/>
              <wp:effectExtent l="0" t="0" r="0" b="0"/>
              <wp:wrapNone/>
              <wp:docPr id="4" name="Rectangle 4"/>
              <wp:cNvGraphicFramePr/>
              <a:graphic xmlns:a="http://schemas.openxmlformats.org/drawingml/2006/main">
                <a:graphicData uri="http://schemas.microsoft.com/office/word/2010/wordprocessingShape">
                  <wps:wsp>
                    <wps:cNvSpPr/>
                    <wps:spPr>
                      <a:xfrm rot="10800000">
                        <a:off x="4320000" y="3337200"/>
                        <a:ext cx="2052000" cy="885600"/>
                      </a:xfrm>
                      <a:prstGeom prst="rect">
                        <a:avLst/>
                      </a:prstGeom>
                      <a:solidFill>
                        <a:srgbClr val="303030"/>
                      </a:solidFill>
                      <a:ln>
                        <a:noFill/>
                      </a:ln>
                    </wps:spPr>
                    <wps:txbx>
                      <w:txbxContent>
                        <w:p w14:paraId="544AD928" w14:textId="77777777" w:rsidR="0088336F" w:rsidRDefault="0088336F">
                          <w:pPr>
                            <w:textDirection w:val="btLr"/>
                          </w:pPr>
                        </w:p>
                      </w:txbxContent>
                    </wps:txbx>
                    <wps:bodyPr spcFirstLastPara="1" wrap="square" lIns="91425" tIns="91425" rIns="91425" bIns="91425" anchor="ctr" anchorCtr="0">
                      <a:noAutofit/>
                    </wps:bodyPr>
                  </wps:wsp>
                </a:graphicData>
              </a:graphic>
            </wp:anchor>
          </w:drawing>
        </mc:Choice>
        <mc:Fallback>
          <w:pict>
            <v:rect w14:anchorId="7F4EC227" id="Rectangle 4" o:spid="_x0000_s1033" style="position:absolute;margin-left:287.1pt;margin-top:-.75pt;width:163.05pt;height:71.25pt;rotation:180;z-index:-251644928;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HEJ2AEAAJsDAAAOAAAAZHJzL2Uyb0RvYy54bWysU2Fv2yAQ/T5p/wHxfbEdN20ahVRTq0yT&#10;qi1S1x+AMcRIGNhBYuff78Bpk23fptkS4h3P794d5/XD2BtylBC0s4xWs5ISaYVrtd0z+vpj+2lJ&#10;SYjcttw4Kxk9yUAfNh8/rAe/knPXOdNKIChiw2rwjHYx+lVRBNHJnoeZ89LioXLQ84gQ9kULfED1&#10;3hTzsrwtBgetBydkCBh9mg7pJusrJUX8rlSQkRhG0VvMK+S1SWuxWfPVHrjvtDjb4P/goufaYtJ3&#10;qSceOTmA/kuq1wJccCrOhOsLp5QWMteA1VTlH9W8dNzLXAs2J/j3NoX/Jyu+HV/8DrANgw+rgNtU&#10;xaigJ+CwW1W5LNOTi0O7ZGT0psbOY4icGK3r+g7R1Ec5RiKQMC8XiUGJQMZyubidCMUknBJ4CPGL&#10;dD1JG0YB7yln4MfnENEMUt8oiR6c0e1WG5MB7JtHA+TI8U7rMr0pPX7yG83YRLYufTYdp0hxKTPt&#10;4tiMRLeM3iWJFGlce9oBCV5sNXp75iHuOOBMVJQMOCeMhp8HDpIS89XiRdxXN/MFDtY1gGvQXANu&#10;Redw/EQESibwGPM4TmY/H6JTOnfgYubsGicgV3me1jRi1zizLv/U5hcAAAD//wMAUEsDBBQABgAI&#10;AAAAIQCDG/bt4gAAAAoBAAAPAAAAZHJzL2Rvd25yZXYueG1sTI9BS8NAEIXvgv9hGcFbu5s2URuz&#10;KSIWD1Kk1QrettkxCc3Ohuy2jf/e8aTH4X28902xHF0nTjiE1pOGZKpAIFXetlRreH9bTe5AhGjI&#10;ms4TavjGAMvy8qIwufVn2uBpG2vBJRRyo6GJsc+lDFWDzoSp75E4+/KDM5HPoZZ2MGcud52cKXUj&#10;nWmJFxrT42OD1WF7dBrS7Jnmq9fs5clvDp+73bjuP5KF1tdX48M9iIhj/IPhV5/VoWSnvT+SDaLT&#10;kN2mM0Y1TJIMBAMLpeYg9kymiQJZFvL/C+UPAAAA//8DAFBLAQItABQABgAIAAAAIQC2gziS/gAA&#10;AOEBAAATAAAAAAAAAAAAAAAAAAAAAABbQ29udGVudF9UeXBlc10ueG1sUEsBAi0AFAAGAAgAAAAh&#10;ADj9If/WAAAAlAEAAAsAAAAAAAAAAAAAAAAALwEAAF9yZWxzLy5yZWxzUEsBAi0AFAAGAAgAAAAh&#10;ANhscQnYAQAAmwMAAA4AAAAAAAAAAAAAAAAALgIAAGRycy9lMm9Eb2MueG1sUEsBAi0AFAAGAAgA&#10;AAAhAIMb9u3iAAAACgEAAA8AAAAAAAAAAAAAAAAAMgQAAGRycy9kb3ducmV2LnhtbFBLBQYAAAAA&#10;BAAEAPMAAABBBQAAAAA=&#10;" fillcolor="#303030" stroked="f">
              <v:textbox inset="2.53958mm,2.53958mm,2.53958mm,2.53958mm">
                <w:txbxContent>
                  <w:p w14:paraId="544AD928" w14:textId="77777777" w:rsidR="0088336F" w:rsidRDefault="0088336F">
                    <w:pPr>
                      <w:textDirection w:val="btLr"/>
                    </w:pPr>
                  </w:p>
                </w:txbxContent>
              </v:textbox>
            </v:rect>
          </w:pict>
        </mc:Fallback>
      </mc:AlternateContent>
    </w:r>
    <w:r>
      <w:rPr>
        <w:noProof/>
      </w:rPr>
      <mc:AlternateContent>
        <mc:Choice Requires="wps">
          <w:drawing>
            <wp:anchor distT="0" distB="0" distL="0" distR="0" simplePos="0" relativeHeight="251672576" behindDoc="0" locked="0" layoutInCell="1" hidden="0" allowOverlap="1" wp14:anchorId="1727A043" wp14:editId="663BE23C">
              <wp:simplePos x="0" y="0"/>
              <wp:positionH relativeFrom="column">
                <wp:posOffset>2346643</wp:posOffset>
              </wp:positionH>
              <wp:positionV relativeFrom="paragraph">
                <wp:posOffset>-9522</wp:posOffset>
              </wp:positionV>
              <wp:extent cx="330200" cy="364490"/>
              <wp:effectExtent l="0" t="0" r="0" b="0"/>
              <wp:wrapNone/>
              <wp:docPr id="5" name="Rectangle 5" descr="Public"/>
              <wp:cNvGraphicFramePr/>
              <a:graphic xmlns:a="http://schemas.openxmlformats.org/drawingml/2006/main">
                <a:graphicData uri="http://schemas.microsoft.com/office/word/2010/wordprocessingShape">
                  <wps:wsp>
                    <wps:cNvSpPr/>
                    <wps:spPr>
                      <a:xfrm>
                        <a:off x="5190425" y="3607280"/>
                        <a:ext cx="311150" cy="345440"/>
                      </a:xfrm>
                      <a:prstGeom prst="rect">
                        <a:avLst/>
                      </a:prstGeom>
                      <a:noFill/>
                      <a:ln>
                        <a:noFill/>
                      </a:ln>
                    </wps:spPr>
                    <wps:txbx>
                      <w:txbxContent>
                        <w:p w14:paraId="17B487E4" w14:textId="77777777" w:rsidR="0088336F" w:rsidRDefault="00000000">
                          <w:pPr>
                            <w:textDirection w:val="btLr"/>
                          </w:pPr>
                          <w:proofErr w:type="spellStart"/>
                          <w:r>
                            <w:rPr>
                              <w:rFonts w:ascii="Calibri" w:eastAsia="Calibri" w:hAnsi="Calibri" w:cs="Calibri"/>
                              <w:color w:val="000000"/>
                            </w:rPr>
                            <w:t>Public</w:t>
                          </w:r>
                          <w:proofErr w:type="spellEnd"/>
                        </w:p>
                      </w:txbxContent>
                    </wps:txbx>
                    <wps:bodyPr spcFirstLastPara="1" wrap="square" lIns="0" tIns="0" rIns="0" bIns="190500" anchor="b" anchorCtr="0">
                      <a:noAutofit/>
                    </wps:bodyPr>
                  </wps:wsp>
                </a:graphicData>
              </a:graphic>
            </wp:anchor>
          </w:drawing>
        </mc:Choice>
        <mc:Fallback>
          <w:pict>
            <v:rect w14:anchorId="1727A043" id="Rectangle 5" o:spid="_x0000_s1034" alt="Public" style="position:absolute;margin-left:184.8pt;margin-top:-.75pt;width:26pt;height:28.7pt;z-index:251672576;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CLguAEAAFUDAAAOAAAAZHJzL2Uyb0RvYy54bWysU9tu2zAMfR+wfxD0vthOky41ohTDigwD&#10;ii1Auw+QZSkWYEsaqcTO349Sk2aXt2Iv9BFJHPKQ9Pp+Gnp21IDWO8GrWcmZdsq31u0F//G8/bDi&#10;DKN0rey904KfNPL7zft36zHUeu4737caGJE4rMcgeBdjqIsCVacHiTMftKOg8TDISE/YFy3IkdiH&#10;vpiX5W0xemgDeKURyfvwEuSbzG+MVvG7Magj6wWn3mK2kG2TbLFZy3oPMnRWnduQb+hikNZR0Veq&#10;BxklO4D9h2qwCjx6E2fKD4U3xiqdNZCaqvxLzVMng85aaDgYXseE/49WfTs+hR3QGMaANRJMKiYD&#10;Q/pSf2wSfFndlYv5krOT4De35cf56jw4PUWmKOGmqqoljVelhMVyscjx4koUAOMX7QeWgOBAe8nj&#10;ksdHjFScUi8pqa7zW9v3eTe9+8NBiclTXLtNKE7NxGwr+CotNHka3552wDCoraWSjxLjTgKttuJs&#10;pHULjj8PEjRn/VdH80y3cQFwAU0GJH5ZUlw61Xk6neYCP8d8SC/9fTpEb2zWcq1/bpR2lyWe7ywd&#10;x+/vnHX9Gza/AAAA//8DAFBLAwQUAAYACAAAACEATrL3Tt8AAAAJAQAADwAAAGRycy9kb3ducmV2&#10;LnhtbEyPwU7DMAyG70i8Q2QkblvaQSvW1Z1gEkLiRlfY1WuytqxxqibbytsTTuNo+9Pv78/Xk+nF&#10;WY+us4wQzyMQmmurOm4Qqu3r7AmE88SKessa4Uc7WBe3Nzllyl74Q59L34gQwi4jhNb7IZPS1a02&#10;5OZ20BxuBzsa8mEcG6lGuoRw08tFFKXSUMfhQ0uD3rS6PpYng/BOm5dv9VltD21yLG1Fb/6r2iHe&#10;303PKxBeT/4Kw59+UIciOO3tiZUTPcJDukwDijCLExABeFzEYbFHSJIlyCKX/xsUvwAAAP//AwBQ&#10;SwECLQAUAAYACAAAACEAtoM4kv4AAADhAQAAEwAAAAAAAAAAAAAAAAAAAAAAW0NvbnRlbnRfVHlw&#10;ZXNdLnhtbFBLAQItABQABgAIAAAAIQA4/SH/1gAAAJQBAAALAAAAAAAAAAAAAAAAAC8BAABfcmVs&#10;cy8ucmVsc1BLAQItABQABgAIAAAAIQBL1CLguAEAAFUDAAAOAAAAAAAAAAAAAAAAAC4CAABkcnMv&#10;ZTJvRG9jLnhtbFBLAQItABQABgAIAAAAIQBOsvdO3wAAAAkBAAAPAAAAAAAAAAAAAAAAABIEAABk&#10;cnMvZG93bnJldi54bWxQSwUGAAAAAAQABADzAAAAHgUAAAAA&#10;" filled="f" stroked="f">
              <v:textbox inset="0,0,0,15pt">
                <w:txbxContent>
                  <w:p w14:paraId="17B487E4" w14:textId="77777777" w:rsidR="0088336F" w:rsidRDefault="00000000">
                    <w:pPr>
                      <w:textDirection w:val="btLr"/>
                    </w:pPr>
                    <w:proofErr w:type="spellStart"/>
                    <w:r>
                      <w:rPr>
                        <w:rFonts w:ascii="Calibri" w:eastAsia="Calibri" w:hAnsi="Calibri" w:cs="Calibri"/>
                        <w:color w:val="000000"/>
                      </w:rPr>
                      <w:t>Public</w:t>
                    </w:r>
                    <w:proofErr w:type="spellEnd"/>
                  </w:p>
                </w:txbxContent>
              </v:textbox>
            </v:rect>
          </w:pict>
        </mc:Fallback>
      </mc:AlternateContent>
    </w:r>
  </w:p>
  <w:p w14:paraId="2A97139C" w14:textId="77777777" w:rsidR="0088336F" w:rsidRDefault="00000000">
    <w:pPr>
      <w:pBdr>
        <w:top w:val="nil"/>
        <w:left w:val="nil"/>
        <w:bottom w:val="nil"/>
        <w:right w:val="nil"/>
        <w:between w:val="nil"/>
      </w:pBdr>
      <w:tabs>
        <w:tab w:val="right" w:pos="9639"/>
      </w:tabs>
      <w:rPr>
        <w:rFonts w:ascii="Arial" w:eastAsia="Arial" w:hAnsi="Arial" w:cs="Arial"/>
        <w:b/>
        <w:bCs/>
        <w:color w:val="000000"/>
        <w:sz w:val="20"/>
        <w:szCs w:val="20"/>
      </w:rPr>
    </w:pPr>
    <w:r>
      <w:rPr>
        <w:rFonts w:ascii="Arial" w:eastAsia="Arial" w:hAnsi="Arial" w:cs="Arial"/>
        <w:b/>
        <w:bCs/>
        <w:color w:val="EB1000"/>
        <w:sz w:val="20"/>
        <w:szCs w:val="20"/>
      </w:rPr>
      <w:t>CONFIDENTIAL</w:t>
    </w:r>
    <w:r>
      <w:rPr>
        <w:rFonts w:ascii="Arial" w:eastAsia="Arial" w:hAnsi="Arial" w:cs="Arial"/>
        <w:b/>
        <w:bCs/>
        <w:color w:val="000000"/>
        <w:sz w:val="20"/>
        <w:szCs w:val="20"/>
      </w:rPr>
      <w:tab/>
    </w:r>
    <w:r>
      <w:rPr>
        <w:rFonts w:ascii="Arial" w:eastAsia="Arial" w:hAnsi="Arial" w:cs="Arial"/>
        <w:color w:val="FFFFFF"/>
        <w:sz w:val="20"/>
        <w:szCs w:val="20"/>
      </w:rPr>
      <w:fldChar w:fldCharType="begin"/>
    </w:r>
    <w:r>
      <w:rPr>
        <w:rFonts w:ascii="Arial" w:eastAsia="Arial" w:hAnsi="Arial" w:cs="Arial"/>
        <w:color w:val="FFFFFF"/>
        <w:sz w:val="20"/>
        <w:szCs w:val="20"/>
      </w:rPr>
      <w:instrText>PAGE</w:instrText>
    </w:r>
    <w:r>
      <w:rPr>
        <w:rFonts w:ascii="Arial" w:eastAsia="Arial" w:hAnsi="Arial" w:cs="Arial"/>
        <w:color w:val="FFFFFF"/>
        <w:sz w:val="20"/>
        <w:szCs w:val="20"/>
      </w:rPr>
      <w:fldChar w:fldCharType="separate"/>
    </w:r>
    <w:r>
      <w:rPr>
        <w:rFonts w:ascii="Arial" w:eastAsia="Arial" w:hAnsi="Arial" w:cs="Arial"/>
        <w:color w:val="FFFFFF"/>
        <w:sz w:val="20"/>
        <w:szCs w:val="20"/>
      </w:rPr>
      <w:fldChar w:fldCharType="end"/>
    </w:r>
    <w:r>
      <w:rPr>
        <w:rFonts w:ascii="Arial" w:eastAsia="Arial" w:hAnsi="Arial" w:cs="Arial"/>
        <w:color w:val="FFFFFF"/>
        <w:sz w:val="20"/>
        <w:szCs w:val="20"/>
      </w:rPr>
      <w:t>/</w:t>
    </w:r>
    <w:r>
      <w:rPr>
        <w:rFonts w:ascii="Arial" w:eastAsia="Arial" w:hAnsi="Arial" w:cs="Arial"/>
        <w:color w:val="FFFFFF"/>
        <w:sz w:val="20"/>
        <w:szCs w:val="20"/>
      </w:rPr>
      <w:fldChar w:fldCharType="begin"/>
    </w:r>
    <w:r>
      <w:rPr>
        <w:rFonts w:ascii="Arial" w:eastAsia="Arial" w:hAnsi="Arial" w:cs="Arial"/>
        <w:color w:val="FFFFFF"/>
        <w:sz w:val="20"/>
        <w:szCs w:val="20"/>
      </w:rPr>
      <w:instrText>NUMPAGES</w:instrText>
    </w:r>
    <w:r>
      <w:rPr>
        <w:rFonts w:ascii="Arial" w:eastAsia="Arial" w:hAnsi="Arial" w:cs="Arial"/>
        <w:color w:val="FFFFFF"/>
        <w:sz w:val="20"/>
        <w:szCs w:val="20"/>
      </w:rPr>
      <w:fldChar w:fldCharType="separate"/>
    </w:r>
    <w:r>
      <w:rPr>
        <w:rFonts w:ascii="Arial" w:eastAsia="Arial" w:hAnsi="Arial" w:cs="Arial"/>
        <w:color w:val="FFFFFF"/>
        <w:sz w:val="20"/>
        <w:szCs w:val="20"/>
      </w:rPr>
      <w:fldChar w:fldCharType="end"/>
    </w:r>
    <w:r>
      <w:rPr>
        <w:noProof/>
      </w:rPr>
      <mc:AlternateContent>
        <mc:Choice Requires="wps">
          <w:drawing>
            <wp:anchor distT="0" distB="0" distL="0" distR="0" simplePos="0" relativeHeight="251673600" behindDoc="1" locked="0" layoutInCell="1" hidden="0" allowOverlap="1" wp14:anchorId="226304F8" wp14:editId="4BC26A85">
              <wp:simplePos x="0" y="0"/>
              <wp:positionH relativeFrom="column">
                <wp:posOffset>-693416</wp:posOffset>
              </wp:positionH>
              <wp:positionV relativeFrom="paragraph">
                <wp:posOffset>-9522</wp:posOffset>
              </wp:positionV>
              <wp:extent cx="7438650" cy="904650"/>
              <wp:effectExtent l="0" t="0" r="0" b="0"/>
              <wp:wrapNone/>
              <wp:docPr id="6" name="Rectangle 6"/>
              <wp:cNvGraphicFramePr/>
              <a:graphic xmlns:a="http://schemas.openxmlformats.org/drawingml/2006/main">
                <a:graphicData uri="http://schemas.microsoft.com/office/word/2010/wordprocessingShape">
                  <wps:wsp>
                    <wps:cNvSpPr/>
                    <wps:spPr>
                      <a:xfrm rot="10800000">
                        <a:off x="1636200" y="3337200"/>
                        <a:ext cx="7419600" cy="885600"/>
                      </a:xfrm>
                      <a:prstGeom prst="rect">
                        <a:avLst/>
                      </a:prstGeom>
                      <a:solidFill>
                        <a:srgbClr val="E2E2E2"/>
                      </a:solidFill>
                      <a:ln>
                        <a:noFill/>
                      </a:ln>
                    </wps:spPr>
                    <wps:txbx>
                      <w:txbxContent>
                        <w:p w14:paraId="0D70A787" w14:textId="77777777" w:rsidR="0088336F" w:rsidRDefault="0088336F">
                          <w:pPr>
                            <w:textDirection w:val="btLr"/>
                          </w:pPr>
                        </w:p>
                      </w:txbxContent>
                    </wps:txbx>
                    <wps:bodyPr spcFirstLastPara="1" wrap="square" lIns="91425" tIns="91425" rIns="91425" bIns="91425" anchor="ctr" anchorCtr="0">
                      <a:noAutofit/>
                    </wps:bodyPr>
                  </wps:wsp>
                </a:graphicData>
              </a:graphic>
            </wp:anchor>
          </w:drawing>
        </mc:Choice>
        <mc:Fallback>
          <w:pict>
            <v:rect w14:anchorId="226304F8" id="Rectangle 6" o:spid="_x0000_s1035" style="position:absolute;margin-left:-54.6pt;margin-top:-.75pt;width:585.7pt;height:71.25pt;rotation:180;z-index:-251642880;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Yv61wEAAJsDAAAOAAAAZHJzL2Uyb0RvYy54bWysU9Fu2zAMfB+wfxD0vthO2jQx4hRDuwwD&#10;ijVAtw9QZDkWIEsaqcTO34+SsyZb34rZgEBS59OROq/uh86wowLUzla8mOScKStdre2+4j9/bD4t&#10;OMMgbC2Ms6riJ4X8fv3xw6r3pZq61plaASMSi2XvK96G4MssQ9mqTuDEeWVps3HQiUAp7LMaRE/s&#10;ncmmeT7Pege1BycVIlUfx02+TvxNo2R4bhpUgZmKk7aQVkjrLq7ZeiXKPQjfanmWId6hohPa0qGv&#10;VI8iCHYA/Yaq0xIcuiZMpOsy1zRaqtQDdVPk/3Tz0gqvUi80HPSvY8L/Ryu/H1/8FmgMvccSKYxd&#10;DA10DBxNq8gXeXxScySXDVSbz+Y0e85OFZ/NZncxTnNUQ2CSAHc3xXIeAZIQi8VtjAmQjcTxAA8Y&#10;virXsRhUHOie0gni+IRhhP6BRDg6o+uNNiYlsN89GGBHQXf6ZRrfM/tfMGMj2Lr42cgYK9mlzRiF&#10;YTcwXVd8GSliZefq0xYYernRpO1JYNgKIE8UnPXkk4rjr4MAxZn5ZukilsXN9JaMdZ3AdbK7ToSV&#10;rSP7yQCcjclDSHYcxX4+BNfoNIGLmLNqckCa4dmt0WLXeUJd/qn1bwAAAP//AwBQSwMEFAAGAAgA&#10;AAAhAIqLgH3eAAAADAEAAA8AAABkcnMvZG93bnJldi54bWxMj8FOwzAQRO9I/IO1SNxaOwEiCHEq&#10;VAQ3hEjp3YlNHGGvQ+y24e/ZnOhtdmc0+7bazN6xo5niEFBCthbADHZBD9hL+Ny9rO6BxaRQKxfQ&#10;SPg1ETb15UWlSh1O+GGOTeoZlWAslQSb0lhyHjtrvIrrMBok7ytMXiUap57rSZ2o3DueC1Fwrwak&#10;C1aNZmtN990cvIRp/z4U+5+bpuh2rUuvb81on7dSXl/NT4/AkpnTfxgWfEKHmpjacEAdmZOwysRD&#10;TtlF3QFbEqLIadOSus0E8Lri50/UfwAAAP//AwBQSwECLQAUAAYACAAAACEAtoM4kv4AAADhAQAA&#10;EwAAAAAAAAAAAAAAAAAAAAAAW0NvbnRlbnRfVHlwZXNdLnhtbFBLAQItABQABgAIAAAAIQA4/SH/&#10;1gAAAJQBAAALAAAAAAAAAAAAAAAAAC8BAABfcmVscy8ucmVsc1BLAQItABQABgAIAAAAIQAp7Yv6&#10;1wEAAJsDAAAOAAAAAAAAAAAAAAAAAC4CAABkcnMvZTJvRG9jLnhtbFBLAQItABQABgAIAAAAIQCK&#10;i4B93gAAAAwBAAAPAAAAAAAAAAAAAAAAADEEAABkcnMvZG93bnJldi54bWxQSwUGAAAAAAQABADz&#10;AAAAPAUAAAAA&#10;" fillcolor="#e2e2e2" stroked="f">
              <v:textbox inset="2.53958mm,2.53958mm,2.53958mm,2.53958mm">
                <w:txbxContent>
                  <w:p w14:paraId="0D70A787" w14:textId="77777777" w:rsidR="0088336F" w:rsidRDefault="0088336F">
                    <w:pPr>
                      <w:textDirection w:val="btLr"/>
                    </w:pPr>
                  </w:p>
                </w:txbxContent>
              </v:textbox>
            </v:rect>
          </w:pict>
        </mc:Fallback>
      </mc:AlternateContent>
    </w:r>
    <w:r>
      <w:rPr>
        <w:noProof/>
      </w:rPr>
      <mc:AlternateContent>
        <mc:Choice Requires="wps">
          <w:drawing>
            <wp:anchor distT="0" distB="0" distL="114300" distR="114300" simplePos="0" relativeHeight="251674624" behindDoc="0" locked="0" layoutInCell="1" hidden="0" allowOverlap="1" wp14:anchorId="7C7D54A4" wp14:editId="6F252018">
              <wp:simplePos x="0" y="0"/>
              <wp:positionH relativeFrom="column">
                <wp:posOffset>-693416</wp:posOffset>
              </wp:positionH>
              <wp:positionV relativeFrom="paragraph">
                <wp:posOffset>-9522</wp:posOffset>
              </wp:positionV>
              <wp:extent cx="163050" cy="904650"/>
              <wp:effectExtent l="0" t="0" r="0" b="0"/>
              <wp:wrapNone/>
              <wp:docPr id="7" name="Rectangle 7"/>
              <wp:cNvGraphicFramePr/>
              <a:graphic xmlns:a="http://schemas.openxmlformats.org/drawingml/2006/main">
                <a:graphicData uri="http://schemas.microsoft.com/office/word/2010/wordprocessingShape">
                  <wps:wsp>
                    <wps:cNvSpPr/>
                    <wps:spPr>
                      <a:xfrm rot="10800000">
                        <a:off x="5274000" y="3337200"/>
                        <a:ext cx="144000" cy="885600"/>
                      </a:xfrm>
                      <a:prstGeom prst="rect">
                        <a:avLst/>
                      </a:prstGeom>
                      <a:solidFill>
                        <a:schemeClr val="dk1"/>
                      </a:solidFill>
                      <a:ln>
                        <a:noFill/>
                      </a:ln>
                    </wps:spPr>
                    <wps:txbx>
                      <w:txbxContent>
                        <w:p w14:paraId="2D907950" w14:textId="77777777" w:rsidR="0088336F" w:rsidRDefault="0088336F">
                          <w:pPr>
                            <w:textDirection w:val="btLr"/>
                          </w:pPr>
                        </w:p>
                      </w:txbxContent>
                    </wps:txbx>
                    <wps:bodyPr spcFirstLastPara="1" wrap="square" lIns="91425" tIns="91425" rIns="91425" bIns="91425" anchor="ctr" anchorCtr="0">
                      <a:noAutofit/>
                    </wps:bodyPr>
                  </wps:wsp>
                </a:graphicData>
              </a:graphic>
            </wp:anchor>
          </w:drawing>
        </mc:Choice>
        <mc:Fallback>
          <w:pict>
            <v:rect w14:anchorId="7C7D54A4" id="Rectangle 7" o:spid="_x0000_s1036" style="position:absolute;margin-left:-54.6pt;margin-top:-.75pt;width:12.85pt;height:71.25pt;rotation:180;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9hh1QEAAJoDAAAOAAAAZHJzL2Uyb0RvYy54bWysU9uO0zAQfUfiHyy/0yS97Jaq6Qrtqghp&#10;BZUWPsB17MbCsc2M26R/z9gp2wJviDxYnouPzxmfrB+GzrKTAjTe1byalJwpJ31j3KHm375u3y05&#10;wyhcI6x3quZnhfxh8/bNug8rNfWtt40CRiAOV32oeRtjWBUFylZ1Aic+KEdF7aETkUI4FA2IntA7&#10;W0zL8q7oPTQBvFSIlH0ai3yT8bVWMn7RGlVktubELeYV8rpPa7FZi9UBRGiNvNAQ/8CiE8bRpa9Q&#10;TyIKdgTzF1RnJHj0Ok6k7wqvtZEqayA1VfmHmpdWBJW10HAwvI4J/x+s/Hx6CTugMfQBV0jbpGLQ&#10;0DHwNK2qXJbpy+KILhtqvpjez1OKnWs+m83u6R3GOaohMkkN1XysS2pYLhd3Y70YcRN+AIwfle9Y&#10;2tQc6JnyBeL0jJG4UOuvltSO3ppma6zNQbKGerTAToIetflepcvpxG9d1qVe59OpsZwyxVVk2sVh&#10;PzDTJJUJI6X2vjnvgGGQW0PcngXGnQCyRMVZTzapOf44ClCc2U+O3uF9NZ8uyFe3AdwG+9tAONl6&#10;cp+MwNkYPMbsxpHth2P02uQJXMlcaJMBssyLWZPDbuPcdf2lNj8BAAD//wMAUEsDBBQABgAIAAAA&#10;IQB7+nfR4AAAAAsBAAAPAAAAZHJzL2Rvd25yZXYueG1sTI/LTsMwEEX3SPyDNUhsUGqnhaiEOBUg&#10;FYEEC9KKtRsPedqOYrcJf890Bbs7mqM7Z7LNbHp2wtE3zkqIFwIY2tLpxlYS9rtttAbmg7Ja9c6i&#10;hB/0sMkvLzKVajfZTzwVoWJUYn2qJNQhDCnnvqzRKL9wA1rafbvRqEDjWHE9qonKTc+XQiTcqMbS&#10;hVoN+Fxj2RVHIyF8FNNT93az7V6TpFy17ct7a76kvL6aHx+ABZzDHwxnfVKHnJwO7mi1Z72EKBb3&#10;S2LP6Q4YEdF6ReFA6G0sgOcZ//9D/gsAAP//AwBQSwECLQAUAAYACAAAACEAtoM4kv4AAADhAQAA&#10;EwAAAAAAAAAAAAAAAAAAAAAAW0NvbnRlbnRfVHlwZXNdLnhtbFBLAQItABQABgAIAAAAIQA4/SH/&#10;1gAAAJQBAAALAAAAAAAAAAAAAAAAAC8BAABfcmVscy8ucmVsc1BLAQItABQABgAIAAAAIQDzT9hh&#10;1QEAAJoDAAAOAAAAAAAAAAAAAAAAAC4CAABkcnMvZTJvRG9jLnhtbFBLAQItABQABgAIAAAAIQB7&#10;+nfR4AAAAAsBAAAPAAAAAAAAAAAAAAAAAC8EAABkcnMvZG93bnJldi54bWxQSwUGAAAAAAQABADz&#10;AAAAPAUAAAAA&#10;" fillcolor="black [3200]" stroked="f">
              <v:textbox inset="2.53958mm,2.53958mm,2.53958mm,2.53958mm">
                <w:txbxContent>
                  <w:p w14:paraId="2D907950" w14:textId="77777777" w:rsidR="0088336F" w:rsidRDefault="0088336F">
                    <w:pPr>
                      <w:textDirection w:val="btLr"/>
                    </w:pP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D9BD10" w14:textId="77777777" w:rsidR="00EB061C" w:rsidRDefault="00EB061C">
      <w:r>
        <w:separator/>
      </w:r>
    </w:p>
  </w:footnote>
  <w:footnote w:type="continuationSeparator" w:id="0">
    <w:p w14:paraId="1C97593F" w14:textId="77777777" w:rsidR="00EB061C" w:rsidRDefault="00EB06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B40F6" w14:textId="77777777" w:rsidR="0088336F" w:rsidRDefault="00000000">
    <w:pPr>
      <w:pBdr>
        <w:top w:val="nil"/>
        <w:left w:val="nil"/>
        <w:bottom w:val="nil"/>
        <w:right w:val="nil"/>
        <w:between w:val="nil"/>
      </w:pBdr>
      <w:tabs>
        <w:tab w:val="center" w:pos="4536"/>
        <w:tab w:val="right" w:pos="9072"/>
      </w:tabs>
      <w:rPr>
        <w:rFonts w:ascii="Arial" w:eastAsia="Arial" w:hAnsi="Arial" w:cs="Arial"/>
        <w:color w:val="000000"/>
        <w:sz w:val="20"/>
        <w:szCs w:val="20"/>
      </w:rPr>
    </w:pPr>
    <w:r>
      <w:rPr>
        <w:noProof/>
      </w:rPr>
      <mc:AlternateContent>
        <mc:Choice Requires="wps">
          <w:drawing>
            <wp:anchor distT="0" distB="0" distL="114300" distR="114300" simplePos="0" relativeHeight="251658240" behindDoc="0" locked="0" layoutInCell="1" hidden="0" allowOverlap="1" wp14:anchorId="70C7B7CE" wp14:editId="38E352D9">
              <wp:simplePos x="0" y="0"/>
              <wp:positionH relativeFrom="column">
                <wp:posOffset>6864797</wp:posOffset>
              </wp:positionH>
              <wp:positionV relativeFrom="paragraph">
                <wp:posOffset>-298464</wp:posOffset>
              </wp:positionV>
              <wp:extent cx="163830" cy="1559105"/>
              <wp:effectExtent l="0" t="0" r="0" b="0"/>
              <wp:wrapNone/>
              <wp:docPr id="13" name="Rectangle 13"/>
              <wp:cNvGraphicFramePr/>
              <a:graphic xmlns:a="http://schemas.openxmlformats.org/drawingml/2006/main">
                <a:graphicData uri="http://schemas.microsoft.com/office/word/2010/wordprocessingShape">
                  <wps:wsp>
                    <wps:cNvSpPr/>
                    <wps:spPr>
                      <a:xfrm rot="10800000">
                        <a:off x="5273610" y="3009973"/>
                        <a:ext cx="144780" cy="1540055"/>
                      </a:xfrm>
                      <a:prstGeom prst="rect">
                        <a:avLst/>
                      </a:prstGeom>
                      <a:solidFill>
                        <a:schemeClr val="accent1"/>
                      </a:solidFill>
                      <a:ln>
                        <a:noFill/>
                      </a:ln>
                    </wps:spPr>
                    <wps:txbx>
                      <w:txbxContent>
                        <w:p w14:paraId="7E4D371F" w14:textId="77777777" w:rsidR="0088336F" w:rsidRDefault="0088336F">
                          <w:pPr>
                            <w:textDirection w:val="btLr"/>
                          </w:pPr>
                        </w:p>
                      </w:txbxContent>
                    </wps:txbx>
                    <wps:bodyPr spcFirstLastPara="1" wrap="square" lIns="91425" tIns="91425" rIns="91425" bIns="91425" anchor="ctr" anchorCtr="0">
                      <a:noAutofit/>
                    </wps:bodyPr>
                  </wps:wsp>
                </a:graphicData>
              </a:graphic>
            </wp:anchor>
          </w:drawing>
        </mc:Choice>
        <mc:Fallback>
          <w:pict>
            <v:rect w14:anchorId="70C7B7CE" id="Rectangle 13" o:spid="_x0000_s1026" style="position:absolute;margin-left:540.55pt;margin-top:-23.5pt;width:12.9pt;height:122.75pt;rotation:180;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Ps22AEAAJcDAAAOAAAAZHJzL2Uyb0RvYy54bWysU9GO2yAQfK/Uf0C8N7aT+JJYcU7VnVJV&#10;OrWRrv0AgiFGwkAXEjt/3wW7d+ndW1U/INaMZ2eW8fZ+6DS5CPDKmpoWs5wSYbhtlDnV9OeP/ac1&#10;JT4w0zBtjajpVXh6v/v4Ydu7Ssxta3UjgCCJ8VXvatqG4Kos87wVHfMz64TBQ2mhYwFLOGUNsB7Z&#10;O53N8/wu6y00DiwX3uPbx/GQ7hK/lIKH71J6EYiuKWoLaYW0HuOa7basOgFzreKTDPYPKjqmDDZ9&#10;oXpkgZEzqHdUneJgvZVhxm2XWSkVF8kDuinyN26eW+ZE8oLD8e5lTP7/0fJvl2d3ABxD73zlcRtd&#10;DBI6AhanVeTrPD7JHMolQ03L+WpxV+A0rzVd5Plms1qMcxRDIBwBxXK5WuM5R0BRLvO8LCMgG4lj&#10;Awc+fBG2I3FTU8B7Sh3Y5cmHEfoHEuHeatXsldapiNkQDxrIheGtMs6FCcXU4C+kNhFvbPxyJI1v&#10;slencReG4zDZP9rmegDiHd8r1PXEfDgwwDwUlPSYkZr6X2cGghL91eAlbIrlvMRQ3RZwWxxvC2Z4&#10;azF6PAAlY/EQUhRHlZ/PwUqV3Eddo5hJLt5+mt+U1Biv2zqhXv+n3W8AAAD//wMAUEsDBBQABgAI&#10;AAAAIQDgVlyJ4gAAAA0BAAAPAAAAZHJzL2Rvd25yZXYueG1sTI89T8MwEIZ3JP6DdUhsrR0KJQ1x&#10;KoRUlgpVFDqwOfE1DsR2FDtp4NdznWC7V/fo/cjXk23ZiH1ovJOQzAUwdJXXjaslvL9tZimwEJXT&#10;qvUOJXxjgHVxeZGrTPuTe8VxH2tGJi5kSoKJscs4D5VBq8Lcd+jod/S9VZFkX3PdqxOZ25bfCLHk&#10;VjWOEozq8Mlg9bUfrITh47jdjQu/WTy/8Gjq7eHnszxIeX01PT4AizjFPxjO9ak6FNSp9IPTgbWk&#10;RZokxEqY3d7TqjOSiOUKWEnXKr0DXuT8/4riFwAA//8DAFBLAQItABQABgAIAAAAIQC2gziS/gAA&#10;AOEBAAATAAAAAAAAAAAAAAAAAAAAAABbQ29udGVudF9UeXBlc10ueG1sUEsBAi0AFAAGAAgAAAAh&#10;ADj9If/WAAAAlAEAAAsAAAAAAAAAAAAAAAAALwEAAF9yZWxzLy5yZWxzUEsBAi0AFAAGAAgAAAAh&#10;ANM0+zbYAQAAlwMAAA4AAAAAAAAAAAAAAAAALgIAAGRycy9lMm9Eb2MueG1sUEsBAi0AFAAGAAgA&#10;AAAhAOBWXIniAAAADQEAAA8AAAAAAAAAAAAAAAAAMgQAAGRycy9kb3ducmV2LnhtbFBLBQYAAAAA&#10;BAAEAPMAAABBBQAAAAA=&#10;" fillcolor="#4f81bd [3204]" stroked="f">
              <v:textbox inset="2.53958mm,2.53958mm,2.53958mm,2.53958mm">
                <w:txbxContent>
                  <w:p w14:paraId="7E4D371F" w14:textId="77777777" w:rsidR="0088336F" w:rsidRDefault="0088336F">
                    <w:pPr>
                      <w:textDirection w:val="btLr"/>
                    </w:pPr>
                  </w:p>
                </w:txbxContent>
              </v:textbox>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F682B5" w14:textId="77777777" w:rsidR="0088336F" w:rsidRDefault="00000000">
    <w:pPr>
      <w:pBdr>
        <w:top w:val="nil"/>
        <w:left w:val="nil"/>
        <w:bottom w:val="nil"/>
        <w:right w:val="nil"/>
        <w:between w:val="nil"/>
      </w:pBdr>
      <w:tabs>
        <w:tab w:val="center" w:pos="4536"/>
        <w:tab w:val="right" w:pos="9072"/>
      </w:tabs>
      <w:rPr>
        <w:rFonts w:ascii="Arial" w:eastAsia="Arial" w:hAnsi="Arial" w:cs="Arial"/>
        <w:color w:val="000000"/>
        <w:sz w:val="20"/>
        <w:szCs w:val="20"/>
      </w:rPr>
    </w:pPr>
    <w:r>
      <w:rPr>
        <w:noProof/>
      </w:rPr>
      <w:drawing>
        <wp:anchor distT="0" distB="0" distL="0" distR="0" simplePos="0" relativeHeight="251659264" behindDoc="1" locked="0" layoutInCell="1" hidden="0" allowOverlap="1" wp14:anchorId="70DC2438" wp14:editId="486663A4">
          <wp:simplePos x="0" y="0"/>
          <wp:positionH relativeFrom="column">
            <wp:posOffset>-247649</wp:posOffset>
          </wp:positionH>
          <wp:positionV relativeFrom="paragraph">
            <wp:posOffset>-57149</wp:posOffset>
          </wp:positionV>
          <wp:extent cx="1967767" cy="461397"/>
          <wp:effectExtent l="0" t="0" r="0" b="0"/>
          <wp:wrapNone/>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967767" cy="461397"/>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ABE9A" w14:textId="77777777" w:rsidR="0088336F" w:rsidRDefault="00000000">
    <w:pPr>
      <w:pBdr>
        <w:top w:val="nil"/>
        <w:left w:val="nil"/>
        <w:bottom w:val="nil"/>
        <w:right w:val="nil"/>
        <w:between w:val="nil"/>
      </w:pBdr>
      <w:tabs>
        <w:tab w:val="center" w:pos="4536"/>
        <w:tab w:val="right" w:pos="9072"/>
      </w:tabs>
      <w:rPr>
        <w:rFonts w:ascii="Arial" w:eastAsia="Arial" w:hAnsi="Arial" w:cs="Arial"/>
        <w:color w:val="000000"/>
        <w:sz w:val="20"/>
        <w:szCs w:val="20"/>
      </w:rPr>
    </w:pPr>
    <w:r>
      <w:rPr>
        <w:noProof/>
      </w:rPr>
      <mc:AlternateContent>
        <mc:Choice Requires="wps">
          <w:drawing>
            <wp:anchor distT="0" distB="0" distL="114300" distR="114300" simplePos="0" relativeHeight="251665408" behindDoc="0" locked="0" layoutInCell="1" hidden="0" allowOverlap="1" wp14:anchorId="1B09689E" wp14:editId="52FF274D">
              <wp:simplePos x="0" y="0"/>
              <wp:positionH relativeFrom="column">
                <wp:posOffset>6864797</wp:posOffset>
              </wp:positionH>
              <wp:positionV relativeFrom="paragraph">
                <wp:posOffset>-298464</wp:posOffset>
              </wp:positionV>
              <wp:extent cx="163830" cy="1559105"/>
              <wp:effectExtent l="0" t="0" r="0" b="0"/>
              <wp:wrapNone/>
              <wp:docPr id="12" name="Rectangle 12"/>
              <wp:cNvGraphicFramePr/>
              <a:graphic xmlns:a="http://schemas.openxmlformats.org/drawingml/2006/main">
                <a:graphicData uri="http://schemas.microsoft.com/office/word/2010/wordprocessingShape">
                  <wps:wsp>
                    <wps:cNvSpPr/>
                    <wps:spPr>
                      <a:xfrm rot="10800000">
                        <a:off x="5273610" y="3009973"/>
                        <a:ext cx="144780" cy="1540055"/>
                      </a:xfrm>
                      <a:prstGeom prst="rect">
                        <a:avLst/>
                      </a:prstGeom>
                      <a:solidFill>
                        <a:schemeClr val="accent1"/>
                      </a:solidFill>
                      <a:ln>
                        <a:noFill/>
                      </a:ln>
                    </wps:spPr>
                    <wps:txbx>
                      <w:txbxContent>
                        <w:p w14:paraId="5548247A" w14:textId="77777777" w:rsidR="0088336F" w:rsidRDefault="0088336F">
                          <w:pPr>
                            <w:textDirection w:val="btLr"/>
                          </w:pPr>
                        </w:p>
                      </w:txbxContent>
                    </wps:txbx>
                    <wps:bodyPr spcFirstLastPara="1" wrap="square" lIns="91425" tIns="91425" rIns="91425" bIns="91425" anchor="ctr" anchorCtr="0">
                      <a:noAutofit/>
                    </wps:bodyPr>
                  </wps:wsp>
                </a:graphicData>
              </a:graphic>
            </wp:anchor>
          </w:drawing>
        </mc:Choice>
        <mc:Fallback>
          <w:pict>
            <v:rect w14:anchorId="1B09689E" id="Rectangle 12" o:spid="_x0000_s1028" style="position:absolute;margin-left:540.55pt;margin-top:-23.5pt;width:12.9pt;height:122.75pt;rotation:180;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Hyz2wEAAJ4DAAAOAAAAZHJzL2Uyb0RvYy54bWysU12P2yAQfK/U/4B4b/yR+JJYcU7VnVJV&#10;OrWRrv0BBEOMhIEuJHb+fRecXtL2rWoeEAuT2dlhvHkce03OAryypqHFLKdEGG5bZY4N/f5t92FF&#10;iQ/MtExbIxp6EZ4+bt+/2wyuFqXtrG4FECQxvh5cQ7sQXJ1lnneiZ35mnTB4KS30LGAJx6wFNiB7&#10;r7Myzx+ywULrwHLhPZ4+T5d0m/ilFDx8ldKLQHRDUVtIK6T1ENdsu2H1EZjrFL/KYP+gomfKYNM3&#10;qmcWGDmB+ouqVxystzLMuO0zK6XiIs2A0xT5H9O8dsyJNAua492bTf7/0fIv51e3B7RhcL72uI1T&#10;jBJ6AhbdKvJVHn9pOJRLxoZW5XL+UKCbl4bO83y9Xs4nH8UYCEdAsVgsV3jPEVBUizyvqgjIJuLY&#10;wIEPn4TtSdw0FPCdUgd2fvFhgv6CRLi3WrU7pXUqYjbEkwZyZviqjHNhQnFt8BtSm4g3Nv5zIo0n&#10;2W3SuAvjYSSqbWgZKeLJwbaXPRDv+E6hvBfmw54BxqKgZMCoNNT/ODEQlOjPBt9iXSzKCrN1X8B9&#10;cbgvmOGdxQTyAJRMxVNIiZzEfjwFK1Uy4SbmqhpDkGy8Bjam7L5OqNtntf0JAAD//wMAUEsDBBQA&#10;BgAIAAAAIQDgVlyJ4gAAAA0BAAAPAAAAZHJzL2Rvd25yZXYueG1sTI89T8MwEIZ3JP6DdUhsrR0K&#10;JQ1xKoRUlgpVFDqwOfE1DsR2FDtp4NdznWC7V/fo/cjXk23ZiH1ovJOQzAUwdJXXjaslvL9tZimw&#10;EJXTqvUOJXxjgHVxeZGrTPuTe8VxH2tGJi5kSoKJscs4D5VBq8Lcd+jod/S9VZFkX3PdqxOZ25bf&#10;CLHkVjWOEozq8Mlg9bUfrITh47jdjQu/WTy/8Gjq7eHnszxIeX01PT4AizjFPxjO9ak6FNSp9IPT&#10;gbWkRZokxEqY3d7TqjOSiOUKWEnXKr0DXuT8/4riFwAA//8DAFBLAQItABQABgAIAAAAIQC2gziS&#10;/gAAAOEBAAATAAAAAAAAAAAAAAAAAAAAAABbQ29udGVudF9UeXBlc10ueG1sUEsBAi0AFAAGAAgA&#10;AAAhADj9If/WAAAAlAEAAAsAAAAAAAAAAAAAAAAALwEAAF9yZWxzLy5yZWxzUEsBAi0AFAAGAAgA&#10;AAAhAM7cfLPbAQAAngMAAA4AAAAAAAAAAAAAAAAALgIAAGRycy9lMm9Eb2MueG1sUEsBAi0AFAAG&#10;AAgAAAAhAOBWXIniAAAADQEAAA8AAAAAAAAAAAAAAAAANQQAAGRycy9kb3ducmV2LnhtbFBLBQYA&#10;AAAABAAEAPMAAABEBQAAAAA=&#10;" fillcolor="#4f81bd [3204]" stroked="f">
              <v:textbox inset="2.53958mm,2.53958mm,2.53958mm,2.53958mm">
                <w:txbxContent>
                  <w:p w14:paraId="5548247A" w14:textId="77777777" w:rsidR="0088336F" w:rsidRDefault="0088336F">
                    <w:pPr>
                      <w:textDirection w:val="btLr"/>
                    </w:pPr>
                  </w:p>
                </w:txbxContent>
              </v:textbox>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9370F" w14:textId="77777777" w:rsidR="0088336F" w:rsidRDefault="00000000">
    <w:pPr>
      <w:pBdr>
        <w:top w:val="nil"/>
        <w:left w:val="nil"/>
        <w:bottom w:val="nil"/>
        <w:right w:val="nil"/>
        <w:between w:val="nil"/>
      </w:pBdr>
      <w:tabs>
        <w:tab w:val="center" w:pos="4536"/>
        <w:tab w:val="right" w:pos="9072"/>
      </w:tabs>
      <w:rPr>
        <w:rFonts w:ascii="Arial" w:eastAsia="Arial" w:hAnsi="Arial" w:cs="Arial"/>
        <w:color w:val="000000"/>
        <w:sz w:val="20"/>
        <w:szCs w:val="20"/>
      </w:rPr>
    </w:pPr>
    <w:r>
      <w:rPr>
        <w:rFonts w:ascii="Arial" w:eastAsia="Arial" w:hAnsi="Arial" w:cs="Arial"/>
        <w:noProof/>
        <w:color w:val="000000"/>
        <w:sz w:val="20"/>
        <w:szCs w:val="20"/>
      </w:rPr>
      <w:drawing>
        <wp:anchor distT="0" distB="0" distL="0" distR="0" simplePos="0" relativeHeight="251666432" behindDoc="1" locked="0" layoutInCell="1" hidden="0" allowOverlap="1" wp14:anchorId="387573B8" wp14:editId="0CE522D4">
          <wp:simplePos x="0" y="0"/>
          <wp:positionH relativeFrom="page">
            <wp:posOffset>5741670</wp:posOffset>
          </wp:positionH>
          <wp:positionV relativeFrom="page">
            <wp:posOffset>0</wp:posOffset>
          </wp:positionV>
          <wp:extent cx="1635760" cy="885190"/>
          <wp:effectExtent l="0" t="0" r="0" b="0"/>
          <wp:wrapNone/>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635760" cy="885190"/>
                  </a:xfrm>
                  <a:prstGeom prst="rect">
                    <a:avLst/>
                  </a:prstGeom>
                  <a:ln/>
                </pic:spPr>
              </pic:pic>
            </a:graphicData>
          </a:graphic>
        </wp:anchor>
      </w:drawing>
    </w:r>
    <w:r>
      <w:rPr>
        <w:rFonts w:ascii="Arial" w:eastAsia="Arial" w:hAnsi="Arial" w:cs="Arial"/>
        <w:noProof/>
        <w:color w:val="000000"/>
        <w:sz w:val="20"/>
        <w:szCs w:val="20"/>
      </w:rPr>
      <mc:AlternateContent>
        <mc:Choice Requires="wps">
          <w:drawing>
            <wp:anchor distT="0" distB="0" distL="0" distR="0" simplePos="0" relativeHeight="251667456" behindDoc="1" locked="0" layoutInCell="1" hidden="0" allowOverlap="1" wp14:anchorId="4D75CF58" wp14:editId="3BA042E1">
              <wp:simplePos x="0" y="0"/>
              <wp:positionH relativeFrom="page">
                <wp:align>right</wp:align>
              </wp:positionH>
              <wp:positionV relativeFrom="page">
                <wp:align>top</wp:align>
              </wp:positionV>
              <wp:extent cx="2071050" cy="904650"/>
              <wp:effectExtent l="0" t="0" r="0" b="0"/>
              <wp:wrapNone/>
              <wp:docPr id="1" name="Rectangle 1"/>
              <wp:cNvGraphicFramePr/>
              <a:graphic xmlns:a="http://schemas.openxmlformats.org/drawingml/2006/main">
                <a:graphicData uri="http://schemas.microsoft.com/office/word/2010/wordprocessingShape">
                  <wps:wsp>
                    <wps:cNvSpPr/>
                    <wps:spPr>
                      <a:xfrm rot="10800000">
                        <a:off x="4320000" y="3337200"/>
                        <a:ext cx="2052000" cy="885600"/>
                      </a:xfrm>
                      <a:prstGeom prst="rect">
                        <a:avLst/>
                      </a:prstGeom>
                      <a:solidFill>
                        <a:srgbClr val="303030"/>
                      </a:solidFill>
                      <a:ln>
                        <a:noFill/>
                      </a:ln>
                    </wps:spPr>
                    <wps:txbx>
                      <w:txbxContent>
                        <w:p w14:paraId="2883D5AF" w14:textId="77777777" w:rsidR="0088336F" w:rsidRDefault="0088336F">
                          <w:pPr>
                            <w:textDirection w:val="btLr"/>
                          </w:pPr>
                        </w:p>
                      </w:txbxContent>
                    </wps:txbx>
                    <wps:bodyPr spcFirstLastPara="1" wrap="square" lIns="91425" tIns="91425" rIns="91425" bIns="91425" anchor="ctr" anchorCtr="0">
                      <a:noAutofit/>
                    </wps:bodyPr>
                  </wps:wsp>
                </a:graphicData>
              </a:graphic>
            </wp:anchor>
          </w:drawing>
        </mc:Choice>
        <mc:Fallback>
          <w:pict>
            <v:rect w14:anchorId="4D75CF58" id="Rectangle 1" o:spid="_x0000_s1030" style="position:absolute;margin-left:111.85pt;margin-top:0;width:163.05pt;height:71.25pt;rotation:180;z-index:-251649024;visibility:visible;mso-wrap-style:square;mso-wrap-distance-left:0;mso-wrap-distance-top:0;mso-wrap-distance-right:0;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IRC1wEAAJsDAAAOAAAAZHJzL2Uyb0RvYy54bWysU9GO0zAQfEfiHyy/0yTN9ShR0xO6UxHS&#10;CSodfIDjOI0lxza7bpP+PWunXAu8IRLJ8q4nuzPryeZhGgw7KUDtbM2LRc6ZstK12h5q/v3b7t2a&#10;MwzCtsI4q2p+Vsgftm/fbEZfqaXrnWkVMCpisRp9zfsQfJVlKHs1CFw4rywddg4GESiEQ9aCGKn6&#10;YLJlnt9no4PWg5MKkbJP8yHfpvpdp2T42nWoAjM1J24hrZDWJq7ZdiOqAwjfa3mhIf6BxSC0paav&#10;pZ5EEOwI+q9Sg5bg0HVhId2Qua7TUiUNpKbI/1Dz0guvkhYaDvrXMeH/Kyu/nF78HmgMo8cKaRtV&#10;TB0MDBxNq8jXeXySOKLLpprflTR5SrFzzcuyfE/RPEc1BSYJsMxXEcGZJMR6vbqfAdlcODbwgOGT&#10;cgOLm5oD3VPqIE7PGIgMQX9BIhyd0e1OG5MCODSPBthJ0J2WeXxje/rkN5ixEWxd/Gw+jpnsKjPu&#10;wtRMTLekKZaImca15z0w9HKniduzwLAXQJ4oOBvJJzXHH0cBijPz2dJFfCjulisy1m0At0FzGwgr&#10;e0f2kwE4m4PHkOw4k/14DK7TaQJXMhfW5ICk8uLWaLHbOKGu/9T2JwAAAP//AwBQSwMEFAAGAAgA&#10;AAAhAAmIaXHeAAAABQEAAA8AAABkcnMvZG93bnJldi54bWxMj0FLw0AQhe8F/8Mygrd2k7QpNWZT&#10;RCweRKStFbxts2MSmp0N2W0b/72jl/byYHiP977Jl4NtxQl73zhSEE8iEEilMw1VCj62q/EChA+a&#10;jG4doYIf9LAsbka5zow70xpPm1AJLiGfaQV1CF0mpS9rtNpPXIfE3rfrrQ589pU0vT5zuW1lEkVz&#10;aXVDvFDrDp9qLA+bo1UwS19ounpPX5/d+vC12w1v3Wd8r9Td7fD4ACLgEC5h+MNndCiYae+OZLxo&#10;FfAj4V/ZmybzGMSeQ7MkBVnk8pq++AUAAP//AwBQSwECLQAUAAYACAAAACEAtoM4kv4AAADhAQAA&#10;EwAAAAAAAAAAAAAAAAAAAAAAW0NvbnRlbnRfVHlwZXNdLnhtbFBLAQItABQABgAIAAAAIQA4/SH/&#10;1gAAAJQBAAALAAAAAAAAAAAAAAAAAC8BAABfcmVscy8ucmVsc1BLAQItABQABgAIAAAAIQAB1IRC&#10;1wEAAJsDAAAOAAAAAAAAAAAAAAAAAC4CAABkcnMvZTJvRG9jLnhtbFBLAQItABQABgAIAAAAIQAJ&#10;iGlx3gAAAAUBAAAPAAAAAAAAAAAAAAAAADEEAABkcnMvZG93bnJldi54bWxQSwUGAAAAAAQABADz&#10;AAAAPAUAAAAA&#10;" fillcolor="#303030" stroked="f">
              <v:textbox inset="2.53958mm,2.53958mm,2.53958mm,2.53958mm">
                <w:txbxContent>
                  <w:p w14:paraId="2883D5AF" w14:textId="77777777" w:rsidR="0088336F" w:rsidRDefault="0088336F">
                    <w:pPr>
                      <w:textDirection w:val="btLr"/>
                    </w:pPr>
                  </w:p>
                </w:txbxContent>
              </v:textbox>
              <w10:wrap anchorx="page" anchory="page"/>
            </v:rect>
          </w:pict>
        </mc:Fallback>
      </mc:AlternateContent>
    </w:r>
    <w:r>
      <w:rPr>
        <w:rFonts w:ascii="Arial" w:eastAsia="Arial" w:hAnsi="Arial" w:cs="Arial"/>
        <w:noProof/>
        <w:color w:val="000000"/>
        <w:sz w:val="20"/>
        <w:szCs w:val="20"/>
      </w:rPr>
      <mc:AlternateContent>
        <mc:Choice Requires="wps">
          <w:drawing>
            <wp:anchor distT="0" distB="0" distL="0" distR="0" simplePos="0" relativeHeight="251668480" behindDoc="1" locked="0" layoutInCell="1" hidden="0" allowOverlap="1" wp14:anchorId="0E327866" wp14:editId="41419F8C">
              <wp:simplePos x="0" y="0"/>
              <wp:positionH relativeFrom="page">
                <wp:align>right</wp:align>
              </wp:positionH>
              <wp:positionV relativeFrom="page">
                <wp:align>top</wp:align>
              </wp:positionV>
              <wp:extent cx="7435305" cy="904650"/>
              <wp:effectExtent l="0" t="0" r="0" b="0"/>
              <wp:wrapNone/>
              <wp:docPr id="2" name="Rectangle 2"/>
              <wp:cNvGraphicFramePr/>
              <a:graphic xmlns:a="http://schemas.openxmlformats.org/drawingml/2006/main">
                <a:graphicData uri="http://schemas.microsoft.com/office/word/2010/wordprocessingShape">
                  <wps:wsp>
                    <wps:cNvSpPr/>
                    <wps:spPr>
                      <a:xfrm rot="10800000">
                        <a:off x="1637873" y="3337200"/>
                        <a:ext cx="7416255" cy="885600"/>
                      </a:xfrm>
                      <a:prstGeom prst="rect">
                        <a:avLst/>
                      </a:prstGeom>
                      <a:solidFill>
                        <a:srgbClr val="E2E2E2"/>
                      </a:solidFill>
                      <a:ln>
                        <a:noFill/>
                      </a:ln>
                    </wps:spPr>
                    <wps:txbx>
                      <w:txbxContent>
                        <w:p w14:paraId="51EFAEAE" w14:textId="77777777" w:rsidR="0088336F" w:rsidRDefault="0088336F">
                          <w:pPr>
                            <w:textDirection w:val="btLr"/>
                          </w:pPr>
                        </w:p>
                      </w:txbxContent>
                    </wps:txbx>
                    <wps:bodyPr spcFirstLastPara="1" wrap="square" lIns="91425" tIns="91425" rIns="91425" bIns="91425" anchor="ctr" anchorCtr="0">
                      <a:noAutofit/>
                    </wps:bodyPr>
                  </wps:wsp>
                </a:graphicData>
              </a:graphic>
            </wp:anchor>
          </w:drawing>
        </mc:Choice>
        <mc:Fallback>
          <w:pict>
            <v:rect w14:anchorId="0E327866" id="Rectangle 2" o:spid="_x0000_s1031" style="position:absolute;margin-left:534.25pt;margin-top:0;width:585.45pt;height:71.25pt;rotation:180;z-index:-251648000;visibility:visible;mso-wrap-style:square;mso-wrap-distance-left:0;mso-wrap-distance-top:0;mso-wrap-distance-right:0;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RW52wEAAJsDAAAOAAAAZHJzL2Uyb0RvYy54bWysU9uK2zAQfS/0H4TeG982idfEWcpuUwpL&#10;G9j2A2RZjgWypI6U2Pn7juR0k3bfSm0QmtHxmXNG483DNChyEuCk0TXNFiklQnPTSn2o6Y/vuw8l&#10;Jc4z3TJltKjpWTj6sH3/bjPaSuSmN6oVQJBEu2q0Ne29t1WSON6LgbmFsULjYWdgYB5DOCQtsBHZ&#10;B5XkabpKRgOtBcOFc5h9mg/pNvJ3neD+W9c54YmqKWrzcYW4NmFNthtWHYDZXvKLDPYPKgYmNRZ9&#10;pXpinpEjyDdUg+RgnOn8gpshMV0nuYge0E2W/uXmpWdWRC/YHGdf2+T+Hy3/enqxe8A2jNZVDrfB&#10;xdTBQMBgt7K0TMMTzaFcMmFuVazLdUHJuaZFUazxHuY+iskTjoD1XbbKl0tKOCLKcrmaAclMHApY&#10;cP6zMAMJm5oC3lOswE7PzqMYhP6GBLgzSrY7qVQM4NA8KiAnhnf6KQ9vKI+f/AFTOoC1CZ/NxyGT&#10;XG2GnZ+aici2pstAETKNac97IM7ynURtz8z5PQOciYySEeekpu7nkYGgRH3ReBH32V2OTv1tALdB&#10;cxswzXuD48c9UDIHjz6O4yz249GbTsYOXMVcVOMERJeXaQ0jdhtH1PWf2v4CAAD//wMAUEsDBBQA&#10;BgAIAAAAIQALqmHP2wAAAAYBAAAPAAAAZHJzL2Rvd25yZXYueG1sTI/BTsMwEETvSPyDtUjcqNMC&#10;KQ1xKlREbwg1pXcn3sYR9jrYbhv+vi4XuKxmNauZt+VytIYd0YfekYDpJAOG1DrVUyfgc/t29wQs&#10;RElKGkco4AcDLKvrq1IWyp1og8c6diyFUCikAB3jUHAeWo1WhokbkJK3d97KmFbfceXlKYVbw2dZ&#10;lnMre0oNWg640th+1QcrwO8++nz3fV/n7bYxcf1eD/p1JcTtzfjyDCziGP+O4YKf0KFKTI07kArM&#10;CEiPxN958abzbAGsSeph9gi8Kvl//OoMAAD//wMAUEsBAi0AFAAGAAgAAAAhALaDOJL+AAAA4QEA&#10;ABMAAAAAAAAAAAAAAAAAAAAAAFtDb250ZW50X1R5cGVzXS54bWxQSwECLQAUAAYACAAAACEAOP0h&#10;/9YAAACUAQAACwAAAAAAAAAAAAAAAAAvAQAAX3JlbHMvLnJlbHNQSwECLQAUAAYACAAAACEA1ekV&#10;udsBAACbAwAADgAAAAAAAAAAAAAAAAAuAgAAZHJzL2Uyb0RvYy54bWxQSwECLQAUAAYACAAAACEA&#10;C6phz9sAAAAGAQAADwAAAAAAAAAAAAAAAAA1BAAAZHJzL2Rvd25yZXYueG1sUEsFBgAAAAAEAAQA&#10;8wAAAD0FAAAAAA==&#10;" fillcolor="#e2e2e2" stroked="f">
              <v:textbox inset="2.53958mm,2.53958mm,2.53958mm,2.53958mm">
                <w:txbxContent>
                  <w:p w14:paraId="51EFAEAE" w14:textId="77777777" w:rsidR="0088336F" w:rsidRDefault="0088336F">
                    <w:pPr>
                      <w:textDirection w:val="btLr"/>
                    </w:pPr>
                  </w:p>
                </w:txbxContent>
              </v:textbox>
              <w10:wrap anchorx="page" anchory="page"/>
            </v:rect>
          </w:pict>
        </mc:Fallback>
      </mc:AlternateContent>
    </w:r>
    <w:r>
      <w:rPr>
        <w:rFonts w:ascii="Arial" w:eastAsia="Arial" w:hAnsi="Arial" w:cs="Arial"/>
        <w:noProof/>
        <w:color w:val="000000"/>
        <w:sz w:val="20"/>
        <w:szCs w:val="20"/>
      </w:rPr>
      <mc:AlternateContent>
        <mc:Choice Requires="wps">
          <w:drawing>
            <wp:anchor distT="0" distB="0" distL="114300" distR="114300" simplePos="0" relativeHeight="251669504" behindDoc="0" locked="0" layoutInCell="1" hidden="0" allowOverlap="1" wp14:anchorId="0D928412" wp14:editId="48E16195">
              <wp:simplePos x="0" y="0"/>
              <wp:positionH relativeFrom="page">
                <wp:align>left</wp:align>
              </wp:positionH>
              <wp:positionV relativeFrom="page">
                <wp:align>top</wp:align>
              </wp:positionV>
              <wp:extent cx="163050" cy="10705702"/>
              <wp:effectExtent l="0" t="0" r="0" b="0"/>
              <wp:wrapNone/>
              <wp:docPr id="10" name="Rectangle 10"/>
              <wp:cNvGraphicFramePr/>
              <a:graphic xmlns:a="http://schemas.openxmlformats.org/drawingml/2006/main">
                <a:graphicData uri="http://schemas.microsoft.com/office/word/2010/wordprocessingShape">
                  <wps:wsp>
                    <wps:cNvSpPr/>
                    <wps:spPr>
                      <a:xfrm rot="10800000">
                        <a:off x="5274000" y="0"/>
                        <a:ext cx="144000" cy="7560000"/>
                      </a:xfrm>
                      <a:prstGeom prst="rect">
                        <a:avLst/>
                      </a:prstGeom>
                      <a:solidFill>
                        <a:schemeClr val="accent1"/>
                      </a:solidFill>
                      <a:ln>
                        <a:noFill/>
                      </a:ln>
                    </wps:spPr>
                    <wps:txbx>
                      <w:txbxContent>
                        <w:p w14:paraId="5DEECE63" w14:textId="77777777" w:rsidR="0088336F" w:rsidRDefault="0088336F">
                          <w:pPr>
                            <w:textDirection w:val="btLr"/>
                          </w:pPr>
                        </w:p>
                      </w:txbxContent>
                    </wps:txbx>
                    <wps:bodyPr spcFirstLastPara="1" wrap="square" lIns="91425" tIns="91425" rIns="91425" bIns="91425" anchor="ctr" anchorCtr="0">
                      <a:noAutofit/>
                    </wps:bodyPr>
                  </wps:wsp>
                </a:graphicData>
              </a:graphic>
            </wp:anchor>
          </w:drawing>
        </mc:Choice>
        <mc:Fallback>
          <w:pict>
            <v:rect w14:anchorId="0D928412" id="Rectangle 10" o:spid="_x0000_s1032" style="position:absolute;margin-left:0;margin-top:0;width:12.85pt;height:842.95pt;rotation:180;z-index:251669504;visibility:visible;mso-wrap-style:square;mso-wrap-distance-left:9pt;mso-wrap-distance-top:0;mso-wrap-distance-right:9pt;mso-wrap-distance-bottom:0;mso-position-horizontal:lef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6570AEAAJgDAAAOAAAAZHJzL2Uyb0RvYy54bWysU8GO2yAQvVfqPyDuje0oyW6jOKtqV6kq&#10;rdpI234AwRAjYYYOJHb+vgPOJml7W60PiGGGx3szz6uHobPsqDAYcDWvJiVnyklojNvX/NfPzad7&#10;zkIUrhEWnKr5SQX+sP74YdX7pZpCC7ZRyAjEhWXva97G6JdFEWSrOhEm4JWjpAbsRKQQ90WDoif0&#10;zhbTslwUPWDjEaQKgU6fxiRfZ3ytlYw/tA4qMltz4hbzinndpbVYr8Ryj8K3Rp5piDew6IRx9OgF&#10;6klEwQ5o/oPqjEQIoONEQleA1kaqrIHUVOU/al5a4VXWQs0J/tKm8H6w8vvxxW+R2tD7sAy0TSoG&#10;jR1DoG5V5X2ZviyO6LKh5vPp3SwdsdOlg2qITFKqmo0ZSam7+SLfJOxihEzQHkP8qqBjaVNzpAll&#10;bHF8DnEsfS1J5QGsaTbG2hwkV6hHi+woaJ5CSuVilWZID/xVaV2qd5Bujul0Ulw1pl0cdgMzTc0X&#10;CSKd7KA5bZEFLzeG6D2LELcCyRAVZz2ZpObh90Gg4sx+czSFz9VsOidX3QZ4G+xuA+FkC+Q9GZGz&#10;MXiM2Ysj2S+HCNrkJlzJnFnT+LPKs1WTv27jXHX9odZ/AAAA//8DAFBLAwQUAAYACAAAACEANhKp&#10;jN4AAAAFAQAADwAAAGRycy9kb3ducmV2LnhtbEyPwU7DMBBE70j8g7VI3KhDq5YS4lQIqVwqhFra&#10;Q29OvI0D8TqKnTTw9Sxc4DLSakYzb7PV6BoxYBdqTwpuJwkIpNKbmioF+7f1zRJEiJqMbjyhgk8M&#10;sMovLzKdGn+mLQ67WAkuoZBqBTbGNpUylBadDhPfIrF38p3Tkc+ukqbTZy53jZwmyUI6XRMvWN3i&#10;k8XyY9c7Bf3xtHkdZn49e36R0Vabw9d7cVDq+mp8fAARcYx/YfjBZ3TImanwPZkgGgX8SPxV9qbz&#10;OxAFZxbL+T3IPJP/6fNvAAAA//8DAFBLAQItABQABgAIAAAAIQC2gziS/gAAAOEBAAATAAAAAAAA&#10;AAAAAAAAAAAAAABbQ29udGVudF9UeXBlc10ueG1sUEsBAi0AFAAGAAgAAAAhADj9If/WAAAAlAEA&#10;AAsAAAAAAAAAAAAAAAAALwEAAF9yZWxzLy5yZWxzUEsBAi0AFAAGAAgAAAAhAJVzrnvQAQAAmAMA&#10;AA4AAAAAAAAAAAAAAAAALgIAAGRycy9lMm9Eb2MueG1sUEsBAi0AFAAGAAgAAAAhADYSqYzeAAAA&#10;BQEAAA8AAAAAAAAAAAAAAAAAKgQAAGRycy9kb3ducmV2LnhtbFBLBQYAAAAABAAEAPMAAAA1BQAA&#10;AAA=&#10;" fillcolor="#4f81bd [3204]" stroked="f">
              <v:textbox inset="2.53958mm,2.53958mm,2.53958mm,2.53958mm">
                <w:txbxContent>
                  <w:p w14:paraId="5DEECE63" w14:textId="77777777" w:rsidR="0088336F" w:rsidRDefault="0088336F">
                    <w:pPr>
                      <w:textDirection w:val="btLr"/>
                    </w:pPr>
                  </w:p>
                </w:txbxContent>
              </v:textbox>
              <w10:wrap anchorx="page" anchory="page"/>
            </v:rect>
          </w:pict>
        </mc:Fallback>
      </mc:AlternateContent>
    </w:r>
    <w:r>
      <w:rPr>
        <w:rFonts w:ascii="Arial" w:eastAsia="Arial" w:hAnsi="Arial" w:cs="Arial"/>
        <w:noProof/>
        <w:color w:val="000000"/>
        <w:sz w:val="20"/>
        <w:szCs w:val="20"/>
      </w:rPr>
      <w:drawing>
        <wp:anchor distT="0" distB="0" distL="0" distR="0" simplePos="0" relativeHeight="251670528" behindDoc="1" locked="0" layoutInCell="1" hidden="0" allowOverlap="1" wp14:anchorId="09697011" wp14:editId="2CFCF4F9">
          <wp:simplePos x="0" y="0"/>
          <wp:positionH relativeFrom="page">
            <wp:posOffset>125730</wp:posOffset>
          </wp:positionH>
          <wp:positionV relativeFrom="page">
            <wp:posOffset>0</wp:posOffset>
          </wp:positionV>
          <wp:extent cx="1623600" cy="885600"/>
          <wp:effectExtent l="0" t="0" r="0" b="0"/>
          <wp:wrapNone/>
          <wp:docPr id="1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1623600" cy="8856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336F"/>
    <w:rsid w:val="0000015E"/>
    <w:rsid w:val="000578A7"/>
    <w:rsid w:val="001A1E5D"/>
    <w:rsid w:val="001A22FF"/>
    <w:rsid w:val="00264683"/>
    <w:rsid w:val="002B6AC0"/>
    <w:rsid w:val="002E4501"/>
    <w:rsid w:val="00302457"/>
    <w:rsid w:val="003F2DE3"/>
    <w:rsid w:val="007D1C7D"/>
    <w:rsid w:val="007E7EC1"/>
    <w:rsid w:val="0088336F"/>
    <w:rsid w:val="008E2DD9"/>
    <w:rsid w:val="0098215C"/>
    <w:rsid w:val="009C3948"/>
    <w:rsid w:val="00AB3D20"/>
    <w:rsid w:val="00B10789"/>
    <w:rsid w:val="00BD585A"/>
    <w:rsid w:val="00C164E9"/>
    <w:rsid w:val="00D467B1"/>
    <w:rsid w:val="00DB0461"/>
    <w:rsid w:val="00E621A4"/>
    <w:rsid w:val="00EB061C"/>
    <w:rsid w:val="00FC3B07"/>
    <w:rsid w:val="00FD5D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94AF1D"/>
  <w15:docId w15:val="{8729E69B-CE49-4A1C-AA0B-7210038F46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ageBreakBefore/>
      <w:spacing w:after="125" w:line="276" w:lineRule="auto"/>
      <w:outlineLvl w:val="0"/>
    </w:pPr>
    <w:rPr>
      <w:rFonts w:ascii="Arial" w:eastAsia="Arial" w:hAnsi="Arial" w:cs="Arial"/>
      <w:b/>
      <w:bCs/>
      <w:sz w:val="32"/>
      <w:szCs w:val="32"/>
    </w:rPr>
  </w:style>
  <w:style w:type="paragraph" w:styleId="Heading2">
    <w:name w:val="heading 2"/>
    <w:basedOn w:val="Normal"/>
    <w:next w:val="Normal"/>
    <w:uiPriority w:val="9"/>
    <w:semiHidden/>
    <w:unhideWhenUsed/>
    <w:qFormat/>
    <w:pPr>
      <w:keepNext/>
      <w:keepLines/>
      <w:tabs>
        <w:tab w:val="left" w:pos="709"/>
      </w:tabs>
      <w:spacing w:before="280" w:after="125" w:line="276" w:lineRule="auto"/>
      <w:outlineLvl w:val="1"/>
    </w:pPr>
    <w:rPr>
      <w:rFonts w:ascii="Arial" w:eastAsia="Arial" w:hAnsi="Arial" w:cs="Arial"/>
      <w:b/>
      <w:bCs/>
      <w:sz w:val="26"/>
      <w:szCs w:val="26"/>
    </w:rPr>
  </w:style>
  <w:style w:type="paragraph" w:styleId="Heading3">
    <w:name w:val="heading 3"/>
    <w:basedOn w:val="Normal"/>
    <w:next w:val="Normal"/>
    <w:uiPriority w:val="9"/>
    <w:semiHidden/>
    <w:unhideWhenUsed/>
    <w:qFormat/>
    <w:pPr>
      <w:keepNext/>
      <w:keepLines/>
      <w:tabs>
        <w:tab w:val="left" w:pos="851"/>
      </w:tabs>
      <w:spacing w:before="280" w:after="125" w:line="276" w:lineRule="auto"/>
      <w:outlineLvl w:val="2"/>
    </w:pPr>
    <w:rPr>
      <w:rFonts w:ascii="Arial" w:eastAsia="Arial" w:hAnsi="Arial" w:cs="Arial"/>
      <w:sz w:val="26"/>
      <w:szCs w:val="26"/>
    </w:rPr>
  </w:style>
  <w:style w:type="paragraph" w:styleId="Heading4">
    <w:name w:val="heading 4"/>
    <w:basedOn w:val="Normal"/>
    <w:next w:val="Normal"/>
    <w:uiPriority w:val="9"/>
    <w:semiHidden/>
    <w:unhideWhenUsed/>
    <w:qFormat/>
    <w:pPr>
      <w:keepNext/>
      <w:keepLines/>
      <w:spacing w:before="250" w:line="276" w:lineRule="auto"/>
      <w:outlineLvl w:val="3"/>
    </w:pPr>
    <w:rPr>
      <w:rFonts w:ascii="Arial" w:eastAsia="Arial" w:hAnsi="Arial" w:cs="Arial"/>
      <w:b/>
      <w:bCs/>
      <w:sz w:val="22"/>
      <w:szCs w:val="22"/>
    </w:rPr>
  </w:style>
  <w:style w:type="paragraph" w:styleId="Heading5">
    <w:name w:val="heading 5"/>
    <w:basedOn w:val="Normal"/>
    <w:next w:val="Normal"/>
    <w:uiPriority w:val="9"/>
    <w:semiHidden/>
    <w:unhideWhenUsed/>
    <w:qFormat/>
    <w:pPr>
      <w:keepNext/>
      <w:keepLines/>
      <w:spacing w:before="280" w:line="276" w:lineRule="auto"/>
      <w:outlineLvl w:val="4"/>
    </w:pPr>
    <w:rPr>
      <w:rFonts w:ascii="Arial" w:eastAsia="Arial" w:hAnsi="Arial" w:cs="Arial"/>
      <w:b/>
      <w:bCs/>
      <w:sz w:val="22"/>
      <w:szCs w:val="22"/>
    </w:rPr>
  </w:style>
  <w:style w:type="paragraph" w:styleId="Heading6">
    <w:name w:val="heading 6"/>
    <w:basedOn w:val="Normal"/>
    <w:next w:val="Normal"/>
    <w:uiPriority w:val="9"/>
    <w:semiHidden/>
    <w:unhideWhenUsed/>
    <w:qFormat/>
    <w:pPr>
      <w:keepNext/>
      <w:keepLines/>
      <w:spacing w:before="40"/>
      <w:outlineLvl w:val="5"/>
    </w:pPr>
    <w:rPr>
      <w:rFonts w:ascii="Arial" w:eastAsia="Arial" w:hAnsi="Arial" w:cs="Arial"/>
      <w:i/>
      <w:iCs/>
      <w:color w:val="595959"/>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600"/>
    </w:pPr>
    <w:rPr>
      <w:rFonts w:ascii="Arial" w:eastAsia="Arial" w:hAnsi="Arial" w:cs="Arial"/>
      <w:color w:val="FFFFFF"/>
      <w:sz w:val="64"/>
      <w:szCs w:val="64"/>
    </w:rPr>
  </w:style>
  <w:style w:type="paragraph" w:styleId="Subtitle">
    <w:name w:val="Subtitle"/>
    <w:basedOn w:val="Normal"/>
    <w:next w:val="Normal"/>
    <w:uiPriority w:val="11"/>
    <w:qFormat/>
    <w:rPr>
      <w:rFonts w:ascii="Arial" w:eastAsia="Arial" w:hAnsi="Arial" w:cs="Arial"/>
      <w:color w:val="FFFFFF"/>
      <w:sz w:val="32"/>
      <w:szCs w:val="32"/>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3F2DE3"/>
    <w:pPr>
      <w:tabs>
        <w:tab w:val="center" w:pos="4513"/>
        <w:tab w:val="right" w:pos="9026"/>
      </w:tabs>
    </w:pPr>
  </w:style>
  <w:style w:type="character" w:customStyle="1" w:styleId="HeaderChar">
    <w:name w:val="Header Char"/>
    <w:basedOn w:val="DefaultParagraphFont"/>
    <w:link w:val="Header"/>
    <w:uiPriority w:val="99"/>
    <w:rsid w:val="003F2DE3"/>
  </w:style>
  <w:style w:type="paragraph" w:styleId="Footer">
    <w:name w:val="footer"/>
    <w:basedOn w:val="Normal"/>
    <w:link w:val="FooterChar"/>
    <w:uiPriority w:val="99"/>
    <w:unhideWhenUsed/>
    <w:rsid w:val="003F2DE3"/>
    <w:pPr>
      <w:tabs>
        <w:tab w:val="center" w:pos="4513"/>
        <w:tab w:val="right" w:pos="9026"/>
      </w:tabs>
    </w:pPr>
  </w:style>
  <w:style w:type="character" w:customStyle="1" w:styleId="FooterChar">
    <w:name w:val="Footer Char"/>
    <w:basedOn w:val="DefaultParagraphFont"/>
    <w:link w:val="Footer"/>
    <w:uiPriority w:val="99"/>
    <w:rsid w:val="003F2DE3"/>
  </w:style>
  <w:style w:type="paragraph" w:styleId="Revision">
    <w:name w:val="Revision"/>
    <w:hidden/>
    <w:uiPriority w:val="99"/>
    <w:semiHidden/>
    <w:rsid w:val="00AB3D20"/>
  </w:style>
  <w:style w:type="character" w:styleId="Hyperlink">
    <w:name w:val="Hyperlink"/>
    <w:basedOn w:val="DefaultParagraphFont"/>
    <w:uiPriority w:val="99"/>
    <w:unhideWhenUsed/>
    <w:rsid w:val="00FD5DB4"/>
    <w:rPr>
      <w:color w:val="0000FF" w:themeColor="hyperlink"/>
      <w:u w:val="single"/>
    </w:rPr>
  </w:style>
  <w:style w:type="character" w:styleId="UnresolvedMention">
    <w:name w:val="Unresolved Mention"/>
    <w:basedOn w:val="DefaultParagraphFont"/>
    <w:uiPriority w:val="99"/>
    <w:semiHidden/>
    <w:unhideWhenUsed/>
    <w:rsid w:val="00FD5DB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baltpool.eu" TargetMode="External"/><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header" Target="header4.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HyA/CX4Cha771Ls4e1XPN8I6uA==">CgMxLjAaJwoBMBIiCiAIBCocCgtBQUFCNXFIaXhOQRAIGgtBQUFCNXFIaXhOQRonCgExEiIKIAgEKhwKC0FBQUI1cUhpdzhzEAgaC0FBQUI1cUhpdzhzGicKATISIgogCAQqHAoLQUFBQjVxSGl3MkkQCBoLQUFBQjVxSGl3MkkaJwoBMxIiCiAIBCocCgtBQUFCNXFIaXc0QRAIGgtBQUFCNXFIaXc0QRonCgE0EiIKIAgEKhwKC0FBQUI1cUhpdzVZEAgaC0FBQUI1cUhpdzVZGicKATUSIgogCAQqHAoLQUFBQjVxSGl3NTAQCBoLQUFBQjVxSGl3NTAaJwoBNhIiCiAIBCocCgtBQUFCNXFIaXc2RRAIGgtBQUFCNXFIaXc2RRonCgE3EiIKIAgEKhwKC0FBQUI1cUhpdzZJEAgaC0FBQUI1cUhpdzZJGicKATgSIgogCAQqHAoLQUFBQjVxSGl3Nk0QCBoLQUFBQjVxSGl3Nk0aGgoBORIVChMIBCoPCgtBQUFCNXFIaXc2YxABGigKAjEwEiIKIAgEKhwKC0FBQUI1cUhpdzZjEAgaC0FBQUI1cUhpdzdrGhsKAjExEhUKEwgEKg8KC0FBQUI1cUhpdzZjEAIaKAoCMTISIgogCAQqHAoLQUFBQjVxSGl3ODAQCBoLQUFBQjVxSGl3ODAaKAoCMTMSIgogCAQqHAoLQUFBQjVxSGl3N3cQCBoLQUFBQjVxSGl3N3caKAoCMTQSIgogCAQqHAoLQUFBQjVxSGl3N3cQCBoLQUFBQjVxSGl4QWsaKAoCMTUSIgogCAQqHAoLQUFBQjVxSGl3ODgQCBoLQUFBQjVxSGl3ODgaKAoCMTYSIgogCAQqHAoLQUFBQjVxSGl3ODgQCBoLQUFBQjVxSGl3ODgiqQ4KC0FBQUI1cUhpdzRBEvcNCgtBQUFCNXFIaXc0QRILQUFBQjVxSGl3NEEamQQKCXRleHQvaHRtbBKLBMSNaWEgcmVpa3TFsyBkZXRhbGl6dW90aSwga2FkIHNlem9udWkgcGlya3RhIGJ1dm8gdGllayBpbGdhbGFpa2lhaXMga29udHJha3RhaXMsIGt1cml1IHBhZ3JpbmRpbmUgZGFsaXMgc3VkYXJvbWEgZGFyIHZhc2Fyb3Mgc2V6b25vIG1ldHUsIGt1b21ldCB2eXJhdm8ga2l0b3Mga2Fpbm9zIC0gdGllayB0cnVtcGFsYWlraWFpcyBrb250cmFrdGFpcyBqYXUgc2V6b25vIG1ldHUsIGt1cml1IGthaW5vcyBidXRlbnQgc3Z5cmF2by4gaXIgdGlrIGtlbGlvcyBzYXZhaXRlcyB2YXNhcmlvIG1lbiBMVCBpc3Npc2t5cmUgdHVvIGF1a3N0dSBwaWt1Ljxicj48YnI+TFYgaXIgRUUgdHVvIG1ldHUsIHRva2l1IGRpZGVzbml1IGthaW51IHN2eXJhdmltdSBiaXJ6b2plIG5ldXpmaWtzdW90YS4gaXIga2FpIFZhaWRvdGFzIHJvZG8gc2F2byBwcmV6ZW50YWNpam9qZSwgdmllbmEgaXMgZ2FsaW11IHRvIHByaWV6YXNjaXUgZGlkZXNuaXMgaWxnYWxhaWtpdSBrb250cmFrdHUga2lla2lzIHN1ZGFyeXRhcyB6aWVtb3Mgc2V6b251aS4ilAQKCnRleHQvcGxhaW4ShQTEjWlhIHJlaWt0xbMgZGV0YWxpenVvdGksIGthZCBzZXpvbnVpIHBpcmt0YSBidXZvIHRpZWsgaWxnYWxhaWtpYWlzIGtvbnRyYWt0YWlzLCBrdXJpdSBwYWdyaW5kaW5lIGRhbGlzIHN1ZGFyb21hIGRhciB2YXNhcm9zIHNlem9ubyBtZXR1LCBrdW9tZXQgdnlyYXZvIGtpdG9zIGthaW5vcyAtIHRpZWsgdHJ1bXBhbGFpa2lhaXMga29udHJha3RhaXMgamF1IHNlem9ubyBtZXR1LCBrdXJpdSBrYWlub3MgYnV0ZW50IHN2eXJhdm8uIGlyIHRpayBrZWxpb3Mgc2F2YWl0ZXMgdmFzYXJpbyBtZW4gTFQgaXNzaXNreXJlIHR1byBhdWtzdHUgcGlrdS4KCkxWIGlyIEVFIHR1byBtZXR1LCB0b2tpdSBkaWRlc25pdSBrYWludSBzdnlyYXZpbXUgYmlyem9qZSBuZXV6Zmlrc3VvdGEuIGlyIGthaSBWYWlkb3RhcyByb2RvIHNhdm8gcHJlemVudGFjaWpvamUsIHZpZW5hIGlzIGdhbGltdSB0byBwcmllemFzY2l1IGRpZGVzbmlzIGlsZ2FsYWlraXUga29udHJha3R1IGtpZWtpcyBzdWRhcnl0YXMgemllbW9zIHNlem9udWkuKhsiFTExMjUzNjUwNTQ3ODE3NDE2ODc1NigAOAAwmcHL6t8zOJnBy+rfM0pFCgp0ZXh0L3BsYWluEjdEaWTFvmlvamkgZGFsaXMgYmlva3VybyBidXZvIMSvc2lneXRhIGtpdG9taXMga2Fpbm9taXMuWgxsdTdwdnR1NTZqYWNyAiAAeACaAQYIABAAGACqAY4EEosExI1pYSByZWlrdMWzIGRldGFsaXp1b3RpLCBrYWQgc2V6b251aSBwaXJrdGEgYnV2byB0aWVrIGlsZ2FsYWlraWFpcyBrb250cmFrdGFpcywga3VyaXUgcGFncmluZGluZSBkYWxpcyBzdWRhcm9tYSBkYXIgdmFzYXJvcyBzZXpvbm8gbWV0dSwga3VvbWV0IHZ5cmF2byBraXRvcyBrYWlub3MgLSB0aWVrIHRydW1wYWxhaWtpYWlzIGtvbnRyYWt0YWlzIGphdSBzZXpvbm8gbWV0dSwga3VyaXUga2Fpbm9zIGJ1dGVudCBzdnlyYXZvLiBpciB0aWsga2VsaW9zIHNhdmFpdGVzIHZhc2FyaW8gbWVuIExUIGlzc2lza3lyZSB0dW8gYXVrc3R1IHBpa3UuPGJyPjxicj5MViBpciBFRSB0dW8gbWV0dSwgdG9raXUgZGlkZXNuaXUga2FpbnUgc3Z5cmF2aW11IGJpcnpvamUgbmV1emZpa3N1b3RhLiBpciBrYWkgVmFpZG90YXMgcm9kbyBzYXZvIHByZXplbnRhY2lqb2plLCB2aWVuYSBpcyBnYWxpbXUgdG8gcHJpZXphc2NpdSBkaWRlc25pcyBpbGdhbGFpa2l1IGtvbnRyYWt0dSBraWVraXMgc3VkYXJ5dGFzIHppZW1vcyBzZXpvbnVpLrABALgBAMgBABiZwcvq3zMgmcHL6t8zMABCEGtpeC45eTA0cHp1bHlkdWYi1AMKC0FBQUI1cUhpdzUwEqIDCgtBQUFCNXFIaXc1MBILQUFBQjVxSGl3NTAaXQoJdGV4dC9odG1sElBuZSB0aWsgdHJpa2U9aWFpLCBiZXQgYmVuZHJhaSBwYXNpcnVvxaFpbWFzIHNlem9udWkgaXIgZ2FteWJvcy90aWVraW1vIGZha3RvcmlhaSJeCgp0ZXh0L3BsYWluElBuZSB0aWsgdHJpa2U9aWFpLCBiZXQgYmVuZHJhaSBwYXNpcnVvxaFpbWFzIHNlem9udWkgaXIgZ2FteWJvcy90aWVraW1vIGZha3RvcmlhaSobIhUxMTI1MzY1MDU0NzgxNzQxNjg3NTYoADgAMJmV6+rfMziZlevq3zNKIQoKdGV4dC9wbGFpbhITdGlla2ltbyB0cmlrZMW+aWFpLloMaDllaGl5YnZtNzIycgIgAHgAmgEGCAAQABgAqgFSElBuZSB0aWsgdHJpa2U9aWFpLCBiZXQgYmVuZHJhaSBwYXNpcnVvxaFpbWFzIHNlem9udWkgaXIgZ2FteWJvcy90aWVraW1vIGZha3RvcmlhabABALgBAMgBABiZlevq3zMgmZXr6t8zMABCEGtpeC5oMXFqbmNyenRreDUiqgIKC0FBQUI1cUhpdzVZEvgBCgtBQUFCNXFIaXc1WRILQUFBQjVxSGl3NVkaGAoJdGV4dC9odG1sEgtpbGdhbGFpa2lhaSIZCgp0ZXh0L3BsYWluEgtpbGdhbGFpa2lhaSobIhUxMTI1MzY1MDU0NzgxNzQxNjg3NTYoADgAMPv25urfMzj79ubq3zNKRgoKdGV4dC9wbGFpbhI4a2V0dmlydGluaWFpIOKAkyAyMiwyOSBwcm9jLiwgbyBwdXNtZcSNaW8g4oCTIDEyLDA2IHByb2NaDG41YjBlN2V4cTZwdnICIAB4AJoBBggAEAAYAKoBDRILaWxnYWxhaWtpYWmwAQC4AQDIAQAY+/bm6t8zIPv25urfMzAAQhBraXguM2w4dHg0dWdrYjZpIuIBCgtBQUFCNXFIaXcySRKwAQoLQUFBQjVxSGl3MkkSC0FBQUI1cUhpdzJJGhAKCXRleHQvaHRtbBIDaWtpIhEKCnRleHQvcGxhaW4SA2lraSobIhUxMTI1MzY1MDU0NzgxNzQxNjg3NTYoADgAML7mvOrfMzi+5rzq3zNKFgoKdGV4dC9wbGFpbhIIdGlrIGFwaWVaDDU2Zm5uNDgweTNrOHICIAB4AJoBBggAEAAYAKoBBRIDaWtpsAEAuAEAyAEAGL7mvOrfMyC+5rzq3zMwAEIQa2l4LjZjZ2l3Y2l0Nno0NSL9BAoLQUFBQjVxSGl4TkESzQQKC0FBQUI1cUhpeE5BEgtBQUFCNXFIaXhOQRqeAQoJdGV4dC9odG1sEpABQDxhIGhyZWY9Im1haWx0bzp2YWlkYS5yYW1hbmF1c2thaXRlQGFkdmVydW0ubHQiIHRhcmdldD0iX2JsYW5rIj52YWlkYS5yYW1hbmF1c2thaXRlQGFkdmVydW0ubHQ8L2E+IHRla3N0YXMgcmVkYWdhdmltdWkgaWtpIMSNaWEgOikgcGlybWkgMiBwc2wuIloKCnRleHQvcGxhaW4STEB2YWlkYS5yYW1hbmF1c2thaXRlQGFkdmVydW0ubHQgdGVrc3RhcyByZWRhZ2F2aW11aSBpa2kgxI1pYSA6KSBwaXJtaSAyIHBzbC4qGyIVMTAwNDE4ODYxNTQ5NDg0MjEyOTgyKAA4ADDjq4Hv3zM446uB798zSjMKCnRleHQvcGxhaW4SJURhdWdpYXUgaW5mb3JtYWNpam9zOiB3d3cuYmFsdHBvb2wuZXVQBFoMeTg0OGhudmNmN3J5cgIgAHgAkgEdChsiFTEwNjIwMjg0NjUyNzY1ODk0MjA1NSgAOACaAQYIABAAGACqAZMBEpABQDxhIGhyZWY9Im1haWx0bzp2YWlkYS5yYW1hbmF1c2thaXRlQGFkdmVydW0ubHQiIHRhcmdldD0iX2JsYW5rIj52YWlkYS5yYW1hbmF1c2thaXRlQGFkdmVydW0ubHQ8L2E+IHRla3N0YXMgcmVkYWdhdmltdWkgaWtpIMSNaWEgOikgcGlybWkgMiBwc2wuGOOrge/fMyDjq4Hv3zNCEGtpeC44aDMzM3U0MHdjOTUilQIKC0FBQUI1cUhpdzJzEt8BCgtBQUFCNXFIaXcycxILQUFBQjVxSGl3MnMaDQoJdGV4dC9odG1sEgAiDgoKdGV4dC9wbGFpbhIAKhsiFTExMjUzNjUwNTQ3ODE3NDE2ODc1NigAOAAw9s/B6t8zOLPdwerfM0o8CiRhcHBsaWNhdGlvbi92bmQuZ29vZ2xlLWFwcHMuZG9jcy5tZHMaFMLX2uQBDhoMCggKAj1pEAEYABABWgxkcnpzbTh4MzF5endyAiAAeACCARRzdWdnZXN0LnhpaXdkYXhqa2JrapoBBggAEAAYALABALgBAMgBABj2z8Hq3zMgs93B6t8zMABCFHN1Z2dlc3QueGlpd2RheGprYmtqIpUCCgtBQUFCNXFIaXcydxLfAQoLQUFBQjVxSGl3MncSC0FBQUI1cUhpdzJ3Gg0KCXRleHQvaHRtbBIAIg4KCnRleHQvcGxhaW4SACobIhUxMTI1MzY1MDU0NzgxNzQxNjg3NTYoADgAMKHmwerfMzjd8MHq3zNKPAokYXBwbGljYXRpb24vdm5kLmdvb2dsZS1hcHBzLmRvY3MubWRzGhTC19rkAQ4aDAoICgI9aRABGAAQAVoMa2twNGM0Mm04Nm8ycgIgAHgAggEUc3VnZ2VzdC40bTR4dnZ5aHJkenWaAQYIABAAGACwAQC4AQDIAQAYoebB6t8zIN3wwerfMzAAQhRzdWdnZXN0LjRtNHh2dnlocmR6dSKWAgoLQUFBQjVxSGl3MmsS4AEKC0FBQUI1cUhpdzJrEgtBQUFCNXFIaXcyaxoNCgl0ZXh0L2h0bWwSACIOCgp0ZXh0L3BsYWluEgAqGyIVMTEyNTM2NTA1NDc4MTc0MTY4NzU2KAA4ADCFwsHq3zM46cfB6t8zSj0KJGFwcGxpY2F0aW9uL3ZuZC5nb29nbGUtYXBwcy5kb2NzLm1kcxoVwtfa5AEPGg0KCQoDPWllEAEYABABWgw1YmlkYjFvejJ5aGRyAiAAeACCARRzdWdnZXN0LmViZzJ0NTV1d25uNZoBBggAEAAYALABALgBAMgBABiFwsHq3zMg6cfB6t8zMABCFHN1Z2dlc3QuZWJnMnQ1NXV3bm41IoMFCgtBQUFCNXFIaXc3dxLRBAoLQUFBQjVxSGl3N3cSC0FBQUI1cUhpdzd3GiwKCXRleHQvaHRtbBIfc3VyYXNpIGdhbCBMVCB0ZWlzaW5nYSB0ZXJtaW5hPyItCgp0ZXh0L3BsYWluEh9zdXJhc2kgZ2FsIExUIHRlaXNpbmdhIHRlcm1pbmE/KhsiFTExMjUzNjUwNTQ3ODE3NDE2ODc1NigAOAAw1PH+6t8zOI6hlezfM0LFAgoLQUFBQjVxSGl4QWsSC0FBQUI1cUhpdzd3Gk0KCXRleHQvaHRtbBJAxI1pYSBkYXIgcmVpa8SXcyBzdSBWYWlkb3R1IHJ5dG9qIHBhc2l0YXJ0IGFyIHRlaXNpbmdhcyB2ZXJ0aW55cyJOCgp0ZXh0L3BsYWluEkDEjWlhIGRhciByZWlrxJdzIHN1IFZhaWRvdHUgcnl0b2ogcGFzaXRhcnQgYXIgdGVpc2luZ2FzIHZlcnRpbnlzKhsiFTEwMDQxODg2MTU0OTQ4NDIxMjk4MigAOAAwjqGV7N8zOI6hlezfM1oLNHh4YWc5ank4YTVyAiAAeACaAQYIABAAGACqAUISQMSNaWEgZGFyIHJlaWvEl3Mgc3UgVmFpZG90dSByeXRvaiBwYXNpdGFydCBhciB0ZWlzaW5nYXMgdmVydGlueXNKGwoKdGV4dC9wbGFpbhINY29zdCBvZiBjYXJyeVoMcTV5b2d2aWducjhjcgIgAHgAmgEGCAAQABgAqgEhEh9zdXJhc2kgZ2FsIExUIHRlaXNpbmdhIHRlcm1pbmE/sAEAuAEAyAEAGNTx/urfMyCOoZXs3zMwAEIQa2l4LjR6NDZtcXEwaGJqYiKLDwoLQUFBQjVxSGl3OHMS2Q4KC0FBQUI1cUhpdzhzEgtBQUFCNXFIaXc4cxqoAgoJdGV4dC9odG1sEpoCbWFuIGtpZWsgcGVyIGRyYW1hdGlza2EgcHJhZHppYSA6KSBuZXNpbm9yaSBsYWJhaSBpc3NraXJ0aSBibG9nZXNuZSBzaXR1YWNpamEgTGlldHV2b3MgOinCoCBnYWwgZm9rdXNhcyBpIHRhaSBrYWQgdm9zIHBhc2liYWlndXMgc2V6b251aSBzdW9yZ2FuaXphdm9tIGlyIHN1cmlua29tIGVzbWluaXVzIHJlZ2lvbm8gcmlua29zIGRhbHl2aXVzIGkgdmllbmEgdmlldGEgaSBrb25mZXJlbmNpamEuLiBpciB0dW8gcGFjaXUgYXB6dmVsZ2VtZSBrYSB0aWsgYmVzaWJhaWdpYW50aSBzZXpvbmEuLi4uIqkCCgp0ZXh0L3BsYWluEpoCbWFuIGtpZWsgcGVyIGRyYW1hdGlza2EgcHJhZHppYSA6KSBuZXNpbm9yaSBsYWJhaSBpc3NraXJ0aSBibG9nZXNuZSBzaXR1YWNpamEgTGlldHV2b3MgOinCoCBnYWwgZm9rdXNhcyBpIHRhaSBrYWQgdm9zIHBhc2liYWlndXMgc2V6b251aSBzdW9yZ2FuaXphdm9tIGlyIHN1cmlua29tIGVzbWluaXVzIHJlZ2lvbm8gcmlua29zIGRhbHl2aXVzIGkgdmllbmEgdmlldGEgaSBrb25mZXJlbmNpamEuLiBpciB0dW8gcGFjaXUgYXB6dmVsZ2VtZSBrYSB0aWsgYmVzaWJhaWdpYW50aSBzZXpvbmEuLi4uKhsiFTExMjUzNjUwNTQ3ODE3NDE2ODc1NigAOAAwxPSK698zOMT0iuvfM0rzBgoKdGV4dC9wbGFpbhLkBuKAnkJhbHRwb29s4oCcIHByaXN0YXTElyAyMDI14oCTMjAyNiBtLiBzZXpvbm8gcmV6dWx0YXR1czogTGlldHV2YSBpxaFzaXNreXLElyBrYWluxbMgxaF1b2xpdQoK4oCeQmFsdHBvb2zigJw6IDIwMjXigJMyMDI2IG0uIHNlem9ubyBkdW9tZW55cyByb2RvIOKAkyBMaWV0dXZhIHRhcG8gamF1dHJpYXVzaWEga2FpbsWzIHN2eXJhdmltYW1zCgrigJ5CYWx0cG9vbOKAnCBwcmlzdGF0xJcgQmFsdGlqb3MgxaFhbGnFsyByZXp1bHRhdHVzOiBMaWV0dXZvamUg4oCTIGRpZMW+aWF1c2lhcyBiaW9rdXJvIGthaW7FsyBhdWdpbWFzCgoKMjAyNeKAkzIwMjYgbS4gxaFpbGR5bW8gc2V6b25hcyBwYXJvZMSXLCBrYWQgTGlldHV2b3MgYmlva3VybyByaW5rYSB2eXN0xJdzaSBraXRhaXAgbmVpIGthaW15bmluxJdzZSDFoWFseXNlIOKAkyBrYWlub3MgxI1pYSBhdWdvIHNwYXLEjWlhdXNpYWksIG8gasWzIHN2eXJhdmltdXMgbMSXbcSXIG5lIHRpayDFoWFsdGVzbmkgbGFpa290YXJwaWFpLCBiZXQgaXIgdGFpLCBrYWlwIGJ1dm8gcGVya2FtYXMga3VyYXMuIEthaXAgYnV2byBwcmlzdGF0eXRhIGRpZMW+aWF1c2lhbWUgcmVnaW9ubyBiaW9rdXJvIHJlbmdpbnlqZSDigJ5CYWx0cG9vbCBCaW9tYXNzIERheeKAmTI24oCcLCBkaWRlc27ElyBwcmlrbGF1c29teWLElyBudW8gdHJ1bXBhbGFpa2nFsyBzYW5kb3JpxbMgcGFkaWRpbm8gcmlua29zIGphdXRydW3EhSBvcm8gc8SFbHlnb21zLCB0aWVraW1vIHRyaWtkxb5pYW1zIGlyIHN0YWlnaWFpIGnFoWF1Z3VzaWFpIHBha2xhdXNhaSwgdG9kxJdsIG5ldCB0cnVtcGkga2FpbsWzIMWhdW9saWFpIHR1csSXam8gZGlkZXNuxK8gcG92ZWlrxK8gbmVpIExhdHZpam9qZSBhciBFc3Rpam9qZS5aDDFkcnNvMnppZGpwdHICIAB4AJoBBggAEAAYAKoBnQISmgJtYW4ga2llayBwZXIgZHJhbWF0aXNrYSBwcmFkemlhIDopIG5lc2lub3JpIGxhYmFpIGlzc2tpcnRpIGJsb2dlc25lIHNpdHVhY2lqYSBMaWV0dXZvcyA6KcKgIGdhbCBmb2t1c2FzIGkgdGFpIGthZCB2b3MgcGFzaWJhaWd1cyBzZXpvbnVpIHN1b3JnYW5pemF2b20gaXIgc3VyaW5rb20gZXNtaW5pdXMgcmVnaW9ubyByaW5rb3MgZGFseXZpdXMgaSB2aWVuYSB2aWV0YSBpIGtvbmZlcmVuY2lqYS4uIGlyIHR1byBwYWNpdSBhcHp2ZWxnZW1lIGthIHRpayBiZXNpYmFpZ2lhbnRpIHNlem9uYS4uLi6wAQC4AQDIAQAYxPSK698zIMT0iuvfMzAAQhBraXgudTh0NTgxd3AycnAxIqAECgtBQUFCNXFIaXc2RRLuAwoLQUFBQjVxSGl3NkUSC0FBQUI1cUhpdzZFGnoKCXRleHQvaHRtbBJtZ2FsIHZlcnRhIGFrY2VudHVvdGksIGthZCBkxJdsIHN1ZGV0aW5ndSBzYWx0dSBvcm8gc2FseWd1LCBwcmllaWppbWFzIHByaWUgemFsaWF2b3MgaXIgbWlza3UgYnV2byBhcHN1bmtpbnRhcyJ7Cgp0ZXh0L3BsYWluEm1nYWwgdmVydGEgYWtjZW50dW90aSwga2FkIGTEl2wgc3VkZXRpbmd1IHNhbHR1IG9ybyBzYWx5Z3UsIHByaWVpamltYXMgcHJpZSB6YWxpYXZvcyBpciBtaXNrdSBidXZvIGFwc3Vua2ludGFzKhsiFTExMjUzNjUwNTQ3ODE3NDE2ODc1NigAOAAwkfju6t8zOJH47urfM0oWCgp0ZXh0L3BsYWluEgh0aWVraW1hc1oMYjduc3UxN3dieTFrcgIgAHgAmgEGCAAQABgAqgFvEm1nYWwgdmVydGEgYWtjZW50dW90aSwga2FkIGTEl2wgc3VkZXRpbmd1IHNhbHR1IG9ybyBzYWx5Z3UsIHByaWVpamltYXMgcHJpZSB6YWxpYXZvcyBpciBtaXNrdSBidXZvIGFwc3Vua2ludGFzsAEAuAEAyAEAGJH47urfMyCR+O7q3zMwAEIQa2l4Lm9hanVoNXhzY3pnMyLdAwoLQUFBQjVxSGl3NkkSqwMKC0FBQUI1cUhpdzZJEgtBQUFCNXFIaXc2SRpZCgl0ZXh0L2h0bWwSTGdhbCBuZSB0aWVrIGthZCBzdWxldGVqbywgbyBidXRlbnQgYnV2byBhcHN1bmtpbnRhcyBkZWwgdHUgdmlzdSBvcm8gdmVpa3NuaXUiWgoKdGV4dC9wbGFpbhJMZ2FsIG5lIHRpZWsga2FkIHN1bGV0ZWpvLCBvIGJ1dGVudCBidXZvIGFwc3Vua2ludGFzIGRlbCB0dSB2aXN1IG9ybyB2ZWlrc25pdSobIhUxMTI1MzY1MDU0NzgxNzQxNjg3NTYoADgAMN2i8erfMzjdovHq3zNKNgoKdGV4dC9wbGFpbhIocGFzacWrbGEgdHJ1bXB1b2p1IGxhaWtvdGFycGl1IHN1bWHFvsSXaloMejZiaDRlb2N4eGtucgIgAHgAmgEGCAAQABgAqgFOEkxnYWwgbmUgdGllayBrYWQgc3VsZXRlam8sIG8gYnV0ZW50IGJ1dm8gYXBzdW5raW50YXMgZGVsIHR1IHZpc3Ugb3JvIHZlaWtzbml1sAEAuAEAyAEAGN2i8erfMyDdovHq3zMwAEIQa2l4Lm1lOWxmZHdhMmxkaCL/AQoLQUFBQjVxSGl3Nk0SzQEKC0FBQUI1cUhpdzZNEgtBQUFCNXFIaXc2TRoPCgl0ZXh0L2h0bWwSAkxUIhAKCnRleHQvcGxhaW4SAkxUKhsiFTExMjUzNjUwNTQ3ODE3NDE2ODc1NigAOAAwr7jy6t8zOK+48urfM0o2Cgp0ZXh0L3BsYWluEijEl23ElyBrYWluxbMgxaF1b2zEryBpa2kgNDAgRXVyL01XaCByaWJvWgxvMm5tdnQ4d3QwajRyAiAAeACaAQYIABAAGACqAQQSAkxUsAEAuAEAyAEAGK+48urfMyCvuPLq3zMwAEIQa2l4Lmd0MjkzOHJocmtueCLTCgoLQUFBQjVxSGl3NmMSnQoKC0FBQUI1cUhpdzZjEgtBQUFCNXFIaXc2YxoNCgl0ZXh0L2h0bWwSACIOCgp0ZXh0L3BsYWluEgAqGyIVMTEyNTM2NTA1NDc4MTc0MTY4NzU2KAA4ADCoxvXq3zM487X76t8zQokICgtBQUFCNXFIaXc3axILQUFBQjVxSGl3NmMauAIKCXRleHQvaHRtbBKqAmdhbCBuZSBkaWRlc25pcywgbyAmcXVvdDt0aW5rYW1hcyZxdW90OyBiYWxhbnNhcyB0YXJwIHRydW1wYWxhaWtpdSBpciBpbGdhbGFpa2l1IGtvbnRyYWt0dSBraWVraW/CoCBwbGl1cyBuZXBhbWlyc3RpIGluZGVrc3VvdHUgc2FuZG9yaXUgb3BjaWpvcy4ga3VyaXUga2FpbmEgcHJpcmlzYW1hIHByaWUgQmFsdHBvb2wgU1BPVCBrYWlub3MgaW5kZWtzbyBpciBzdXRlaWtpYSB0cnVtcGFsYWlraXUga29udHJha3R1IGxhbmtzdHVtYSwgdHVvIHBhY2l1IGlsZ2FsYWlraXUga29udHJha3R1IHJpemlrxbMgZ2FyYW50aWphcy4irwIKCnRleHQvcGxhaW4SoAJnYWwgbmUgZGlkZXNuaXMsIG8gInRpbmthbWFzIiBiYWxhbnNhcyB0YXJwIHRydW1wYWxhaWtpdSBpciBpbGdhbGFpa2l1IGtvbnRyYWt0dSBraWVraW/CoCBwbGl1cyBuZXBhbWlyc3RpIGluZGVrc3VvdHUgc2FuZG9yaXUgb3BjaWpvcy4ga3VyaXUga2FpbmEgcHJpcmlzYW1hIHByaWUgQmFsdHBvb2wgU1BPVCBrYWlub3MgaW5kZWtzbyBpciBzdXRlaWtpYSB0cnVtcGFsYWlraXUga29udHJha3R1IGxhbmtzdHVtYSwgdHVvIHBhY2l1IGlsZ2FsYWlraXUga29udHJha3R1IHJpemlrxbMgZ2FyYW50aWphcy4qGyIVMTEyNTM2NTA1NDc4MTc0MTY4NzU2KAA4ADDztfvq3zM487X76t8zWgxhaGJ5cjZ5cTBpYWRyAiAAeACaAQYIABAAGACqAa0CEqoCZ2FsIG5lIGRpZGVzbmlzLCBvICZxdW90O3RpbmthbWFzJnF1b3Q7IGJhbGFuc2FzIHRhcnAgdHJ1bXBhbGFpa2l1IGlyIGlsZ2FsYWlraXUga29udHJha3R1IGtpZWtpb8KgIHBsaXVzIG5lcGFtaXJzdGkgaW5kZWtzdW90dSBzYW5kb3JpdSBvcGNpam9zLiBrdXJpdSBrYWluYSBwcmlyaXNhbWEgcHJpZSBCYWx0cG9vbCBTUE9UIGthaW5vcyBpbmRla3NvIGlyIHN1dGVpa2lhIHRydW1wYWxhaWtpdSBrb250cmFrdHUgbGFua3N0dW1hLCB0dW8gcGFjaXUgaWxnYWxhaWtpdSBrb250cmFrdHUgcml6aWvFsyBnYXJhbnRpamFzLrABALgBAMgBAEpuCiRhcHBsaWNhdGlvbi92bmQuZ29vZ2xlLWFwcHMuZG9jcy5tZHMaRsLX2uQBQAo+CioKJHNhbmRvcmnFsyB0cnVrbcSXcyBkaXZlcnNpZmlrYWNpamEgLRABGAASDgoIZGlkZXNuaXMQARgAGAFaDDR4enpqYnh1cHFvNnICIAB4AIIBFHN1Z2dlc3QubWNxODZ6MTQ0dmxumgEGCAAQABgAsAEAuAEAyAEAGKjG9erfMyDztfvq3zMwAEIUc3VnZ2VzdC5tY3E4NnoxNDR2bG4i9wYKC0FBQUI1cUhpdzg4EsUGCgtBQUFCNXFIaXc4OBILQUFBQjVxSGl3ODgacwoJdGV4dC9odG1sEmZzdGFydHVvamFudCBwYXNpcnVvc2ltYW1zIGtpdGFtIMW+aWVtb3Mgc2V6b251aS4uLjxicj48YnI+bGFiYWkgbm9yaXNpIGNpYSBESVZFUlNJRklLQUNJSk9TIHRlcm1pbm8gOikibgoKdGV4dC9wbGFpbhJgc3RhcnR1b2phbnQgcGFzaXJ1b3NpbWFtcyBraXRhbSDFvmllbW9zIHNlem9udWkuLi4KCmxhYmFpIG5vcmlzaSBjaWEgRElWRVJTSUZJS0FDSUpPUyB0ZXJtaW5vIDopKhsiFTExMjUzNjUwNTQ3ODE3NDE2ODc1NigAOAAwxeGT698zOLHWlevfM0qHAwoKdGV4dC9wbGFpbhL4AkFydMSXamFudCBuYXVqYW0gc2V6b251aSwgcmlua29zIGRhbHl2aWFtcyB0ZWtzIHJpbmt0aXMgdGFycCBkaWRlc25pbyBzdGFiaWx1bW8sIGt1csSvIHN1dGVpa2lhIGlsZ2FsYWlraWFpIGFyIGluZGVrc3VvdGkgc2FuZG9yaWFpLCBpciBkaWRlc27El3Mgcml6aWtvcywgYXRzaXJhbmRhbsSNaW9zIGTEl2wgcHJpa2xhdXNvbXlixJdzIG51byB0cnVtcGFsYWlrxJdzIHJpbmtvcy4gTmV0IGplaSBhcnTEl2phbnRpcyBzZXpvbmFzIGLFq3TFsyByYW1lc25pcywgZGlzY2lwbGludW90YSBwaXJraW3FsyBzdHJhdGVnaWphIGnFoWxpa3MgdmllbnUgc3ZhcmJpYXVzacWzIHZlaWtzbmnFsyBzaWVraWFudCBpxaF2ZW5ndGkgbmF1asWzIGthaW7FsyDFoXVvbGnFsy5aDGhyZGRwdDF5N25odnICIAB4AJoBBggAEAAYAKoBaBJmc3RhcnR1b2phbnQgcGFzaXJ1b3NpbWFtcyBraXRhbSDFvmllbW9zIHNlem9udWkuLi48YnI+PGJyPmxhYmFpIG5vcmlzaSBjaWEgRElWRVJTSUZJS0FDSUpPUyB0ZXJtaW5vIDopsAEAuAEAyAEAGMXhk+vfMyCx1pXr3zMwAEIQa2l4LnByc3R2MDFiaDVlNCLABAoLQUFBQjVxSGl3ODASjgQKC0FBQUI1cUhpdzgwEgtBQUFCNXFIaXc4MBqAAQoJdGV4dC9odG1sEnNkcmFtYXRpc2thIDopIGdhbCBzdXZlc2tpbSBwcmllIGdsb2JhbCBzaXR1YWNpam9zIGlyIGthZCB2ZWlraWFtaSB0ZWJldnlrc3RhbmNpdSBhcGxpbmt5Yml1IHZlcnRpbmEga2FpcCB2ZXJ0aW5hIDpEIoEBCgp0ZXh0L3BsYWluEnNkcmFtYXRpc2thIDopIGdhbCBzdXZlc2tpbSBwcmllIGdsb2JhbCBzaXR1YWNpam9zIGlyIGthZCB2ZWlraWFtaSB0ZWJldnlrc3RhbmNpdSBhcGxpbmt5Yml1IHZlcnRpbmEga2FpcCB2ZXJ0aW5hIDpEKhsiFTExMjUzNjUwNTQ3ODE3NDE2ODc1NigAOAAw7sOO698zOO7DjuvfM0oiCgp0ZXh0L3BsYWluEhTFoWxpZWthIHN1ZMSXdGluZ29zLloMeThjbW9tYmNrN2p3cgIgAHgAmgEGCAAQABgAqgF1EnNkcmFtYXRpc2thIDopIGdhbCBzdXZlc2tpbSBwcmllIGdsb2JhbCBzaXR1YWNpam9zIGlyIGthZCB2ZWlraWFtaSB0ZWJldnlrc3RhbmNpdSBhcGxpbmt5Yml1IHZlcnRpbmEga2FpcCB2ZXJ0aW5hIDpEsAEAuAEAyAEAGO7DjuvfMyDuw47r3zMwAEIQa2l4LjhiMTcxaXYweTlvMDgAaiwKFHN1Z2dlc3QudW8xd2NlOWJydGluEhRBbmRyaXVzIE1hdHVsaWF1c2thc2osChRzdWdnZXN0LnZjb3RrbzFnMDR6NhIUQW5kcml1cyBNYXR1bGlhdXNrYXNqKwoTc3VnZ2VzdC5zaDkwNHJ4cTdzYRIUQW5kcml1cyBNYXR1bGlhdXNrYXNqLAoUc3VnZ2VzdC5naXhqaHI1aWM1MDMSFEFuZHJpdXMgTWF0dWxpYXVza2FzaiwKFHN1Z2dlc3QueXE2dzhpYnJzYnI3EhRBbmRyaXVzIE1hdHVsaWF1c2thc2oqChRzdWdnZXN0LnJkODNvb20wYjZvYRISSnVzdGluYSBWYXNpdWtldmljaioKFHN1Z2dlc3QucjZ3ZnVlMnV1OXBpEhJKdXN0aW5hIFZhc2l1a2V2aWNqLAoUc3VnZ2VzdC40ZXBtd3ZkMjA1enQSFEFuZHJpdXMgTWF0dWxpYXVza2FzaiwKFHN1Z2dlc3QuanZrMmxhdjZ3MmFpEhRBbmRyaXVzIE1hdHVsaWF1c2thc2oqChRzdWdnZXN0LnhrZWdocXg2enVodRISSnVzdGluYSBWYXNpdWtldmljaiwKFHN1Z2dlc3QuZThlNzh6Mjdjd2VmEhRBbmRyaXVzIE1hdHVsaWF1c2thc2oqChRzdWdnZXN0LjlxZ3Q0dGwzdXd4cBISSnVzdGluYSBWYXNpdWtldmljaiwKFHN1Z2dlc3QubWd1ZHI0am5tc2FxEhRBbmRyaXVzIE1hdHVsaWF1c2thc2osChRzdWdnZXN0LmJ4eXB0N2JoMTZ4dhIUQW5kcml1cyBNYXR1bGlhdXNrYXNqLAoUc3VnZ2VzdC45czRoMmFraXF4N3ISFEFuZHJpdXMgTWF0dWxpYXVza2FzaiwKFHN1Z2dlc3QuOWVuZGdtZmkxMnR0EhRBbmRyaXVzIE1hdHVsaWF1c2thc2oqChRzdWdnZXN0LnF4Z2M3b3h5aThmZRISSnVzdGluYSBWYXNpdWtldmljaioKFHN1Z2dlc3QuYXh1a3huMmo1ZTM0EhJKdXN0aW5hIFZhc2l1a2V2aWNqLAoUc3VnZ2VzdC44aDk4eTYyMmpmOGMSFEFuZHJpdXMgTWF0dWxpYXVza2FzaiwKFHN1Z2dlc3QucnF2b3gzYWpsZnZoEhRBbmRyaXVzIE1hdHVsaWF1c2thc2osChRzdWdnZXN0Lmh6bjV2cGQybHRpORIUQW5kcml1cyBNYXR1bGlhdXNrYXNqLAoUc3VnZ2VzdC5xOXkzYzM2ODF4NDISFEFuZHJpdXMgTWF0dWxpYXVza2FzaiwKFHN1Z2dlc3QueGpmdjB1ejczM3gxEhRBbmRyaXVzIE1hdHVsaWF1c2thc2oqChRzdWdnZXN0LjdidTBic3BvazdkdBISSnVzdGluYSBWYXNpdWtldmljaiwKFHN1Z2dlc3QuN3J5d2J2bWpuOWZqEhRBbmRyaXVzIE1hdHVsaWF1c2thc2osChRzdWdnZXN0LnZ0NHFsZDVpdHB2eBIUQW5kcml1cyBNYXR1bGlhdXNrYXNqKgoUc3VnZ2VzdC5xbWpxNmEzMndqZHUSEkp1c3RpbmEgVmFzaXVrZXZpY2osChRzdWdnZXN0LjJza3U0ZjIwNnU1ehIUQW5kcml1cyBNYXR1bGlhdXNrYXNqKgoUc3VnZ2VzdC55bGF1aGt3MjdnM3gSEkp1c3RpbmEgVmFzaXVrZXZpY2osChRzdWdnZXN0Lm1ianlqd2JzZ2pjbRIUQW5kcml1cyBNYXR1bGlhdXNrYXNqLAoUc3VnZ2VzdC51cTRoaDhnbWQzYjUSFEFuZHJpdXMgTWF0dWxpYXVza2FzaiwKFHN1Z2dlc3QucGdja2Y5MmFwM3Y5EhRBbmRyaXVzIE1hdHVsaWF1c2thc2osChRzdWdnZXN0Lmc2OTQ0bmxoY2t0ZRIUQW5kcml1cyBNYXR1bGlhdXNrYXNqLAoUc3VnZ2VzdC5sYW82dG53eTlkZjkSFEFuZHJpdXMgTWF0dWxpYXVza2FzaiwKFHN1Z2dlc3QuNXp2eWkxN3prbHIxEhRBbmRyaXVzIE1hdHVsaWF1c2thc2osChRzdWdnZXN0LmtmdGU5c3N5bmxhdxIUQW5kcml1cyBNYXR1bGlhdXNrYXNqLAoUc3VnZ2VzdC44OTY0dzFnaWpyaTQSFEFuZHJpdXMgTWF0dWxpYXVza2FzaiwKFHN1Z2dlc3QuaGNmZnF0dGpoNXExEhRBbmRyaXVzIE1hdHVsaWF1c2thc2osChRzdWdnZXN0LmZzbGY2ZWFocDMxZRIUQW5kcml1cyBNYXR1bGlhdXNrYXNqLAoUc3VnZ2VzdC5yYzNzc3B1dmZzYjQSFEFuZHJpdXMgTWF0dWxpYXVza2FzaiwKFHN1Z2dlc3QuemZtcnl1eXk3YXFyEhRBbmRyaXVzIE1hdHVsaWF1c2thc2osChRzdWdnZXN0LjRuOHk3MDlzY2VvNBIUQW5kcml1cyBNYXR1bGlhdXNrYXNqLAoUc3VnZ2VzdC51b3I4bDFla3d4bDQSFEFuZHJpdXMgTWF0dWxpYXVza2FzaiwKFHN1Z2dlc3QuMTJqMnI1N3FiazFoEhRBbmRyaXVzIE1hdHVsaWF1c2thc2oqChRzdWdnZXN0LnZnanFpNGE1bDQ2NRISSnVzdGluYSBWYXNpdWtldmljaiwKFHN1Z2dlc3Qua21zdDJvOWN5MHg4EhRBbmRyaXVzIE1hdHVsaWF1c2thc2osChRzdWdnZXN0LjZnNWZqMWR0dmZpcBIUQW5kcml1cyBNYXR1bGlhdXNrYXNqLAoUc3VnZ2VzdC53aXUyMXR2cmI1cGESFEFuZHJpdXMgTWF0dWxpYXVza2FzaiwKFHN1Z2dlc3QuaDVvdTB1czg3c3FvEhRBbmRyaXVzIE1hdHVsaWF1c2thc2osChRzdWdnZXN0Lm1yOGVlb3lpY3c4bRIUQW5kcml1cyBNYXR1bGlhdXNrYXNqLAoUc3VnZ2VzdC45YjhteXFscng2bDgSFEFuZHJpdXMgTWF0dWxpYXVza2FzaiwKFHN1Z2dlc3QudHI4MmVrNTIxdjkwEhRBbmRyaXVzIE1hdHVsaWF1c2thc2osChRzdWdnZXN0LjFhaDl5aDZqNDNkORIUQW5kcml1cyBNYXR1bGlhdXNrYXNqLAoUc3VnZ2VzdC45NGV2YnhmNzgxbDQSFEFuZHJpdXMgTWF0dWxpYXVza2FzaiwKFHN1Z2dlc3QubHdkbjc5dGZ6M2dwEhRBbmRyaXVzIE1hdHVsaWF1c2thc2orChNzdWdnZXN0LncydnozODV4NjlxEhRBbmRyaXVzIE1hdHVsaWF1c2thc2osChRzdWdnZXN0Lmcwb3I4eDRxcXB0cRIUQW5kcml1cyBNYXR1bGlhdXNrYXNqLAoUc3VnZ2VzdC5zN2g4NDY0ajNpeTESFEFuZHJpdXMgTWF0dWxpYXVza2FzaiwKFHN1Z2dlc3QubzViaTl3NHVxeDBjEhRBbmRyaXVzIE1hdHVsaWF1c2thc2osChRzdWdnZXN0Lm81OTduMHh1b2k1MRIUQW5kcml1cyBNYXR1bGlhdXNrYXNqKgoUc3VnZ2VzdC54aWl3ZGF4amtia2oSEkp1c3RpbmEgVmFzaXVrZXZpY2osChRzdWdnZXN0Lmk3bThiczVrcGd2ZRIUQW5kcml1cyBNYXR1bGlhdXNrYXNqLAoUc3VnZ2VzdC50eHYxMXhwNmpqcm4SFEFuZHJpdXMgTWF0dWxpYXVza2FzaiwKFHN1Z2dlc3QuM2tjb3huZjN1OWRyEhRBbmRyaXVzIE1hdHVsaWF1c2thc2osChRzdWdnZXN0Lndvc29jamo3bW1qORIUQW5kcml1cyBNYXR1bGlhdXNrYXNqKgoUc3VnZ2VzdC40bTR4dnZ5aHJkenUSEkp1c3RpbmEgVmFzaXVrZXZpY2osChRzdWdnZXN0LnUwcjZkYWxtZThpMBIUQW5kcml1cyBNYXR1bGlhdXNrYXNqLAoUc3VnZ2VzdC5zcjBxb2w1dGh4NnMSFEFuZHJpdXMgTWF0dWxpYXVza2FzaioKFHN1Z2dlc3QuZWJnMnQ1NXV3bm41EhJKdXN0aW5hIFZhc2l1a2V2aWNqLAoUc3VnZ2VzdC52dXowandqM212a2ESFEFuZHJpdXMgTWF0dWxpYXVza2FzaiwKFHN1Z2dlc3QuZzBid251cXF0d3RqEhRBbmRyaXVzIE1hdHVsaWF1c2thc2osChRzdWdnZXN0LmZic2d3Zzl0M2JwchIUQW5kcml1cyBNYXR1bGlhdXNrYXNqLAoUc3VnZ2VzdC44ZnVreHFkMmNqZTISFEFuZHJpdXMgTWF0dWxpYXVza2FzaiwKFHN1Z2dlc3QuZHV6NTN4ZWltejVzEhRBbmRyaXVzIE1hdHVsaWF1c2thc2osChRzdWdnZXN0LnZqZjJiMnZmcTkxahIUQW5kcml1cyBNYXR1bGlhdXNrYXNqLAoUc3VnZ2VzdC4yM2Z0ODF1Z3VoY2cSFEFuZHJpdXMgTWF0dWxpYXVza2FzaiwKFHN1Z2dlc3QuaGdiZTF4bG81N2VmEhRBbmRyaXVzIE1hdHVsaWF1c2thc2osChRzdWdnZXN0LmtsZHhocXdjcWcyMRIUQW5kcml1cyBNYXR1bGlhdXNrYXNqLAoUc3VnZ2VzdC5lcmQ3eno2dmR2M2USFEFuZHJpdXMgTWF0dWxpYXVza2FzaiwKFHN1Z2dlc3QubG90NmIxbmVtdG40EhRBbmRyaXVzIE1hdHVsaWF1c2thc2osChRzdWdnZXN0LjY2NWtpeGV6ZjNqcRIUQW5kcml1cyBNYXR1bGlhdXNrYXNqLAoUc3VnZ2VzdC5kMXFsc2dwaXozdzkSFEFuZHJpdXMgTWF0dWxpYXVza2FzaiwKFHN1Z2dlc3QuaDd1aDl6ajNocHJ4EhRBbmRyaXVzIE1hdHVsaWF1c2thc2osChRzdWdnZXN0Lm1xYmsxNHQzNXpwNhIUQW5kcml1cyBNYXR1bGlhdXNrYXNqLAoUc3VnZ2VzdC50N2s3YjZsejFiem4SFEFuZHJpdXMgTWF0dWxpYXVza2FzaiwKFHN1Z2dlc3QuYmcwMzdxYmlmdTB1EhRBbmRyaXVzIE1hdHVsaWF1c2thc2osChRzdWdnZXN0LjZoZ2Z3d3BlY29hZRIUQW5kcml1cyBNYXR1bGlhdXNrYXNqLAoUc3VnZ2VzdC5tYjVoZWUyYWlhMmsSFEFuZHJpdXMgTWF0dWxpYXVza2FzaiwKFHN1Z2dlc3QucDVzdzByNThiYmNmEhRBbmRyaXVzIE1hdHVsaWF1c2thc2osChRzdWdnZXN0LnF3aGsxZmE3dDF4ahIUQW5kcml1cyBNYXR1bGlhdXNrYXNqLAoUc3VnZ2VzdC52bHZtM3F5aXc2cWQSFEFuZHJpdXMgTWF0dWxpYXVza2FzaiwKFHN1Z2dlc3QuN2xleXB4eXFxeWIxEhRBbmRyaXVzIE1hdHVsaWF1c2thc2oqChRzdWdnZXN0Ljc2cmVuNjFzNzY2cxISSnVzdGluYSBWYXNpdWtldmljaiwKFHN1Z2dlc3Qub2E0bzA5dWE2NXA4EhRBbmRyaXVzIE1hdHVsaWF1c2thc2osChRzdWdnZXN0Lno5Znhic2R0bXJwchIUQW5kcml1cyBNYXR1bGlhdXNrYXNqLAoUc3VnZ2VzdC45dTBoaG8xNWEzcW4SFEFuZHJpdXMgTWF0dWxpYXVza2FzaiwKFHN1Z2dlc3QuN2toODlxZWh6ZHFtEhRBbmRyaXVzIE1hdHVsaWF1c2thc2osChRzdWdnZXN0LmV1c3FidHowcjUxehIUQW5kcml1cyBNYXR1bGlhdXNrYXNqLAoUc3VnZ2VzdC5uNzVwZXUzeWMxbWwSFEFuZHJpdXMgTWF0dWxpYXVza2FzaiwKFHN1Z2dlc3QuNjB5cmRmZmxkY3YxEhRBbmRyaXVzIE1hdHVsaWF1c2thc2osChRzdWdnZXN0Lmg2NzZtcGg0czluYRIUQW5kcml1cyBNYXR1bGlhdXNrYXNqKgoUc3VnZ2VzdC5tY3E4NnoxNDR2bG4SEkp1c3RpbmEgVmFzaXVrZXZpY2oqChRzdWdnZXN0LmFpa2J2bnI4aTM0YxISSnVzdGluYSBWYXNpdWtldmljciExdjJCQkZoWlZUbXFxbVdNWW1IZVRzYll5MTl3Z2ZOLX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1069</Words>
  <Characters>6099</Characters>
  <Application>Microsoft Office Word</Application>
  <DocSecurity>0</DocSecurity>
  <Lines>50</Lines>
  <Paragraphs>14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7154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Dxvg0498</cp:lastModifiedBy>
  <cp:revision>7</cp:revision>
  <dcterms:created xsi:type="dcterms:W3CDTF">2026-05-07T06:13:00Z</dcterms:created>
  <dcterms:modified xsi:type="dcterms:W3CDTF">2026-05-07T06:53:00Z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a0be246-9405-4ad2-9296-0e76741b707f_Enabled">
    <vt:lpwstr>true</vt:lpwstr>
  </property>
  <property fmtid="{D5CDD505-2E9C-101B-9397-08002B2CF9AE}" pid="3" name="MSIP_Label_da0be246-9405-4ad2-9296-0e76741b707f_SetDate">
    <vt:lpwstr>2024-06-25T13:18:39Z</vt:lpwstr>
  </property>
  <property fmtid="{D5CDD505-2E9C-101B-9397-08002B2CF9AE}" pid="4" name="MSIP_Label_da0be246-9405-4ad2-9296-0e76741b707f_Method">
    <vt:lpwstr>Standard</vt:lpwstr>
  </property>
  <property fmtid="{D5CDD505-2E9C-101B-9397-08002B2CF9AE}" pid="5" name="MSIP_Label_da0be246-9405-4ad2-9296-0e76741b707f_Name">
    <vt:lpwstr>Intern</vt:lpwstr>
  </property>
  <property fmtid="{D5CDD505-2E9C-101B-9397-08002B2CF9AE}" pid="6" name="MSIP_Label_da0be246-9405-4ad2-9296-0e76741b707f_SiteId">
    <vt:lpwstr>aeb9a5ed-4884-448b-814d-529c2e0f5072</vt:lpwstr>
  </property>
  <property fmtid="{D5CDD505-2E9C-101B-9397-08002B2CF9AE}" pid="7" name="MSIP_Label_da0be246-9405-4ad2-9296-0e76741b707f_ActionId">
    <vt:lpwstr>d5c6f0b5-b9a4-48f2-812c-d8b1c84288cf</vt:lpwstr>
  </property>
  <property fmtid="{D5CDD505-2E9C-101B-9397-08002B2CF9AE}" pid="8" name="MSIP_Label_da0be246-9405-4ad2-9296-0e76741b707f_ContentBits">
    <vt:lpwstr>0</vt:lpwstr>
  </property>
  <property fmtid="{D5CDD505-2E9C-101B-9397-08002B2CF9AE}" pid="9" name="ClassificationContentMarkingFooterShapeIds">
    <vt:lpwstr>a239615,49a848ea,46bf14ba,26ab1900,7cafcb89,35d526cd,60c1cf2e,4e18a63c,2576132f</vt:lpwstr>
  </property>
  <property fmtid="{D5CDD505-2E9C-101B-9397-08002B2CF9AE}" pid="10" name="ClassificationContentMarkingFooterFontProps">
    <vt:lpwstr>#000000,10,Calibri</vt:lpwstr>
  </property>
  <property fmtid="{D5CDD505-2E9C-101B-9397-08002B2CF9AE}" pid="11" name="ClassificationContentMarkingFooterText">
    <vt:lpwstr>Public</vt:lpwstr>
  </property>
  <property fmtid="{D5CDD505-2E9C-101B-9397-08002B2CF9AE}" pid="12" name="MSIP_Label_6c8fa877-572b-40d1-b8c7-a85f99de6863_Enabled">
    <vt:lpwstr>true</vt:lpwstr>
  </property>
  <property fmtid="{D5CDD505-2E9C-101B-9397-08002B2CF9AE}" pid="13" name="MSIP_Label_6c8fa877-572b-40d1-b8c7-a85f99de6863_SetDate">
    <vt:lpwstr>2024-12-16T09:28:08Z</vt:lpwstr>
  </property>
  <property fmtid="{D5CDD505-2E9C-101B-9397-08002B2CF9AE}" pid="14" name="MSIP_Label_6c8fa877-572b-40d1-b8c7-a85f99de6863_Method">
    <vt:lpwstr>Privileged</vt:lpwstr>
  </property>
  <property fmtid="{D5CDD505-2E9C-101B-9397-08002B2CF9AE}" pid="15" name="MSIP_Label_6c8fa877-572b-40d1-b8c7-a85f99de6863_Name">
    <vt:lpwstr>Public - Marking</vt:lpwstr>
  </property>
  <property fmtid="{D5CDD505-2E9C-101B-9397-08002B2CF9AE}" pid="16" name="MSIP_Label_6c8fa877-572b-40d1-b8c7-a85f99de6863_SiteId">
    <vt:lpwstr>e00ddcdf-1e0f-4be5-a37a-894a4731986a</vt:lpwstr>
  </property>
  <property fmtid="{D5CDD505-2E9C-101B-9397-08002B2CF9AE}" pid="17" name="MSIP_Label_6c8fa877-572b-40d1-b8c7-a85f99de6863_ActionId">
    <vt:lpwstr>509f7d21-605c-446d-88d2-8dbdb823e475</vt:lpwstr>
  </property>
  <property fmtid="{D5CDD505-2E9C-101B-9397-08002B2CF9AE}" pid="18" name="MSIP_Label_6c8fa877-572b-40d1-b8c7-a85f99de6863_ContentBits">
    <vt:lpwstr>2</vt:lpwstr>
  </property>
  <property fmtid="{D5CDD505-2E9C-101B-9397-08002B2CF9AE}" pid="19" name="ContentTypeId">
    <vt:lpwstr>0x01010008C4DC186AA523409A908A8B4ECC491D</vt:lpwstr>
  </property>
  <property fmtid="{D5CDD505-2E9C-101B-9397-08002B2CF9AE}" pid="20" name="MediaServiceImageTags">
    <vt:lpwstr>MediaServiceImageTags</vt:lpwstr>
  </property>
  <property fmtid="{D5CDD505-2E9C-101B-9397-08002B2CF9AE}" pid="21" name="docLang">
    <vt:lpwstr>en</vt:lpwstr>
  </property>
</Properties>
</file>