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1BC50D" w14:textId="77777777" w:rsidR="00E6728A" w:rsidRDefault="00000000">
      <w:pPr>
        <w:jc w:val="right"/>
        <w:rPr>
          <w:rFonts w:ascii="Times New Roman" w:eastAsia="Times New Roman" w:hAnsi="Times New Roman" w:cs="Times New Roman"/>
          <w:b/>
          <w:bCs/>
        </w:rPr>
      </w:pPr>
      <w:r>
        <w:rPr>
          <w:rFonts w:ascii="Times New Roman" w:eastAsia="Times New Roman" w:hAnsi="Times New Roman" w:cs="Times New Roman"/>
          <w:b/>
          <w:bCs/>
        </w:rPr>
        <w:t>2026 05 12</w:t>
      </w:r>
    </w:p>
    <w:p w14:paraId="1F634C55" w14:textId="77777777" w:rsidR="00E6728A" w:rsidRDefault="00E6728A">
      <w:pPr>
        <w:jc w:val="center"/>
        <w:rPr>
          <w:rFonts w:ascii="Times New Roman" w:eastAsia="Times New Roman" w:hAnsi="Times New Roman" w:cs="Times New Roman"/>
          <w:b/>
          <w:bCs/>
        </w:rPr>
      </w:pPr>
    </w:p>
    <w:p w14:paraId="3F740CBB" w14:textId="77777777" w:rsidR="00E6728A" w:rsidRPr="007D21D6" w:rsidRDefault="00000000">
      <w:pPr>
        <w:jc w:val="center"/>
        <w:rPr>
          <w:rFonts w:ascii="Times New Roman" w:eastAsia="Times New Roman" w:hAnsi="Times New Roman" w:cs="Times New Roman"/>
          <w:b/>
          <w:bCs/>
          <w:sz w:val="28"/>
          <w:szCs w:val="28"/>
        </w:rPr>
      </w:pPr>
      <w:r w:rsidRPr="007D21D6">
        <w:rPr>
          <w:rFonts w:ascii="Times New Roman" w:eastAsia="Times New Roman" w:hAnsi="Times New Roman" w:cs="Times New Roman"/>
          <w:b/>
          <w:bCs/>
          <w:sz w:val="28"/>
          <w:szCs w:val="28"/>
        </w:rPr>
        <w:t>390 mln. kibernetinių grėsmių per metus: sukčiai vis dažniau slepiasi už „gerų pasiūlymų</w:t>
      </w:r>
      <w:r w:rsidRPr="007D21D6">
        <w:rPr>
          <w:rFonts w:ascii="Times New Roman" w:eastAsia="Times New Roman" w:hAnsi="Times New Roman" w:cs="Times New Roman"/>
          <w:b/>
          <w:bCs/>
        </w:rPr>
        <w:t>“</w:t>
      </w:r>
    </w:p>
    <w:p w14:paraId="62193015" w14:textId="77777777" w:rsidR="00E6728A" w:rsidRDefault="00E6728A">
      <w:pPr>
        <w:jc w:val="center"/>
        <w:rPr>
          <w:rFonts w:ascii="Times New Roman" w:eastAsia="Times New Roman" w:hAnsi="Times New Roman" w:cs="Times New Roman"/>
          <w:b/>
          <w:bCs/>
        </w:rPr>
      </w:pPr>
    </w:p>
    <w:p w14:paraId="7B5680C6" w14:textId="5517F4E7" w:rsidR="00E6728A"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Sukčiavimui masiškai plintant socialiniuose tinkluose, nuostoliai pasaulyje pasiekė rekordines sumas. Naujausi duomenys rodo, kad vien JAV per 2025 m. vartotojai  dėl socialiniuose tinkluose veikiančių sukčių prarado daugiau nei 2,1 mlrd. JAV dolerių. Didelė dalis šių atvejų susiję su netikromis elektroninėmis parduotuvėmis, imituojamais prekių ženklais ar klaidinančiomis reklamomis, kurios automatiškai nukreipia į sukčiavimo puslapius.</w:t>
      </w:r>
    </w:p>
    <w:p w14:paraId="40972264" w14:textId="77777777" w:rsidR="00E6728A" w:rsidRDefault="00E6728A">
      <w:pPr>
        <w:jc w:val="both"/>
        <w:rPr>
          <w:rFonts w:ascii="Times New Roman" w:eastAsia="Times New Roman" w:hAnsi="Times New Roman" w:cs="Times New Roman"/>
          <w:b/>
          <w:bCs/>
          <w:sz w:val="22"/>
          <w:szCs w:val="22"/>
        </w:rPr>
      </w:pPr>
    </w:p>
    <w:p w14:paraId="010F36EA" w14:textId="77777777" w:rsidR="00E6728A"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Didžiausio mobiliojo ryšio operatoriaus Lietuvoje „Tele2“ duomenimis, per 2025 m. tinklo lygmens apsauga sustabdė daugiau nei 390 mln. kibernetinių grėsmių. Vien per 2026 m. kovą užfiksuota daugiau nei 61,8 mln. bandymų pasiekti pavojingą turinį, o maždaug trečdalis – apie 33 proc. – visų apsaugotų įrenginių bent kartą susidūrė su kibernetinėmis grėsmėmis. </w:t>
      </w:r>
    </w:p>
    <w:p w14:paraId="3FBA67A7" w14:textId="77777777" w:rsidR="00E6728A" w:rsidRDefault="00E6728A">
      <w:pPr>
        <w:jc w:val="both"/>
        <w:rPr>
          <w:rFonts w:ascii="Times New Roman" w:eastAsia="Times New Roman" w:hAnsi="Times New Roman" w:cs="Times New Roman"/>
          <w:sz w:val="22"/>
          <w:szCs w:val="22"/>
        </w:rPr>
      </w:pPr>
    </w:p>
    <w:p w14:paraId="6D2757CB" w14:textId="77777777" w:rsidR="00E6728A"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Sukčiai slepiasi už patrauklių pasiūlymų</w:t>
      </w:r>
    </w:p>
    <w:p w14:paraId="19600228" w14:textId="77777777" w:rsidR="00E6728A" w:rsidRDefault="00E6728A">
      <w:pPr>
        <w:jc w:val="both"/>
        <w:rPr>
          <w:rFonts w:ascii="Times New Roman" w:eastAsia="Times New Roman" w:hAnsi="Times New Roman" w:cs="Times New Roman"/>
          <w:b/>
          <w:bCs/>
          <w:sz w:val="22"/>
          <w:szCs w:val="22"/>
        </w:rPr>
      </w:pPr>
    </w:p>
    <w:p w14:paraId="133F724E" w14:textId="77777777" w:rsidR="00E6728A"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Pasak „Tele2“ produkto vadovo Donato Drakickio, socialiniai tinklai šiandien tapo viena pagrindinių sukčių veikimo vietų.</w:t>
      </w:r>
    </w:p>
    <w:p w14:paraId="0410CF8A" w14:textId="77777777" w:rsidR="00E6728A" w:rsidRDefault="00E6728A">
      <w:pPr>
        <w:jc w:val="both"/>
        <w:rPr>
          <w:rFonts w:ascii="Times New Roman" w:eastAsia="Times New Roman" w:hAnsi="Times New Roman" w:cs="Times New Roman"/>
          <w:sz w:val="22"/>
          <w:szCs w:val="22"/>
        </w:rPr>
      </w:pPr>
    </w:p>
    <w:p w14:paraId="13F69343" w14:textId="77777777" w:rsidR="00E6728A"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„Didelė dalis sukčiavimo atvejų prasideda nuo iš pirmo žvilgsnio patrauklaus pasiūlymo – nuolaidos, išpardavimo ar trumpalaikės akcijos. Vartotojas paspaudžia nuorodą ir patenka į puslapį, kuris atrodo kaip tikra parduotuvė, tačiau iš tiesų yra sukurtas duomenims išvilioti“, – sako jis.</w:t>
      </w:r>
    </w:p>
    <w:p w14:paraId="757C38AB" w14:textId="77777777" w:rsidR="00E6728A" w:rsidRDefault="00E6728A">
      <w:pPr>
        <w:jc w:val="both"/>
        <w:rPr>
          <w:rFonts w:ascii="Times New Roman" w:eastAsia="Times New Roman" w:hAnsi="Times New Roman" w:cs="Times New Roman"/>
          <w:sz w:val="22"/>
          <w:szCs w:val="22"/>
        </w:rPr>
      </w:pPr>
    </w:p>
    <w:p w14:paraId="3996F554" w14:textId="131B135E" w:rsidR="00E6728A"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Tokie puslapiai dažnai imituoja žinomus prekių ženklus, atrodo profesionaliai ir sąmoningai kuria skubos įspūdį – rodo, kad „liko vos kelios prekės“ ar „akcija galioja tik šiandien“. Tai skatina sprendimus priimti greitai, neskiriant pakankamai dėmesio detalėms. Svarbu atkreipti dėmesį ne tik į dizainą, bet ir į detales – svetainės adresą, įtartinai atrodančias nuorodas, gramatines klaidas ar neįprastai mažas kainas</w:t>
      </w:r>
      <w:r w:rsidR="00917062">
        <w:rPr>
          <w:rFonts w:ascii="Times New Roman" w:eastAsia="Times New Roman" w:hAnsi="Times New Roman" w:cs="Times New Roman"/>
          <w:sz w:val="22"/>
          <w:szCs w:val="22"/>
        </w:rPr>
        <w:t>.</w:t>
      </w:r>
    </w:p>
    <w:p w14:paraId="6F4E5F12" w14:textId="77777777" w:rsidR="00E6728A" w:rsidRDefault="00E6728A">
      <w:pPr>
        <w:jc w:val="both"/>
        <w:rPr>
          <w:rFonts w:ascii="Times New Roman" w:eastAsia="Times New Roman" w:hAnsi="Times New Roman" w:cs="Times New Roman"/>
          <w:b/>
          <w:bCs/>
          <w:sz w:val="22"/>
          <w:szCs w:val="22"/>
        </w:rPr>
      </w:pPr>
    </w:p>
    <w:p w14:paraId="2CA2214A" w14:textId="77777777" w:rsidR="00E6728A"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Su grėsmėmis susiduriama kasdien</w:t>
      </w:r>
    </w:p>
    <w:p w14:paraId="62E3CF26" w14:textId="77777777" w:rsidR="00E6728A" w:rsidRDefault="00E6728A">
      <w:pPr>
        <w:jc w:val="both"/>
        <w:rPr>
          <w:rFonts w:ascii="Times New Roman" w:eastAsia="Times New Roman" w:hAnsi="Times New Roman" w:cs="Times New Roman"/>
          <w:b/>
          <w:bCs/>
          <w:sz w:val="22"/>
          <w:szCs w:val="22"/>
        </w:rPr>
      </w:pPr>
    </w:p>
    <w:p w14:paraId="588ED8A5" w14:textId="10C2C1A3" w:rsidR="00E6728A"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Populiariausio Lietuvoje operatoriaus duomenys rodo, kad tinklo lygiu veikiančios interneto apsaugos vartotojai yra apsaugomi nuo dešimčių milijonų kibernetinių grėsmių kas mėnesį - su realiais bandymais atakuoti susiduria kas trečias paslaugos naudotojas. </w:t>
      </w:r>
    </w:p>
    <w:p w14:paraId="7B1A04BC" w14:textId="77777777" w:rsidR="00E6728A" w:rsidRDefault="00E6728A">
      <w:pPr>
        <w:jc w:val="both"/>
        <w:rPr>
          <w:rFonts w:ascii="Times New Roman" w:eastAsia="Times New Roman" w:hAnsi="Times New Roman" w:cs="Times New Roman"/>
          <w:sz w:val="22"/>
          <w:szCs w:val="22"/>
        </w:rPr>
      </w:pPr>
    </w:p>
    <w:p w14:paraId="3034957C" w14:textId="77777777" w:rsidR="00E6728A"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Didžiąją dalį užblokuotų grėsmių sudarė kenkėjiškas turinys (angl. </w:t>
      </w:r>
      <w:r>
        <w:rPr>
          <w:rFonts w:ascii="Times New Roman" w:eastAsia="Times New Roman" w:hAnsi="Times New Roman" w:cs="Times New Roman"/>
          <w:i/>
          <w:iCs/>
          <w:sz w:val="22"/>
          <w:szCs w:val="22"/>
        </w:rPr>
        <w:t>malware</w:t>
      </w:r>
      <w:r>
        <w:rPr>
          <w:rFonts w:ascii="Times New Roman" w:eastAsia="Times New Roman" w:hAnsi="Times New Roman" w:cs="Times New Roman"/>
          <w:sz w:val="22"/>
          <w:szCs w:val="22"/>
        </w:rPr>
        <w:t xml:space="preserve">). Beveik kas ketvirta užfiksuota grėsmė buvo susijusi su sukčiavimo atakomis (angl. </w:t>
      </w:r>
      <w:r>
        <w:rPr>
          <w:rFonts w:ascii="Times New Roman" w:eastAsia="Times New Roman" w:hAnsi="Times New Roman" w:cs="Times New Roman"/>
          <w:i/>
          <w:iCs/>
          <w:sz w:val="22"/>
          <w:szCs w:val="22"/>
        </w:rPr>
        <w:t>phishing</w:t>
      </w:r>
      <w:r>
        <w:rPr>
          <w:rFonts w:ascii="Times New Roman" w:eastAsia="Times New Roman" w:hAnsi="Times New Roman" w:cs="Times New Roman"/>
          <w:sz w:val="22"/>
          <w:szCs w:val="22"/>
        </w:rPr>
        <w:t xml:space="preserve">), o daugiau nei 40 proc. – su jau identifikuotais pavojingais puslapiais (angl. </w:t>
      </w:r>
      <w:r>
        <w:rPr>
          <w:rFonts w:ascii="Times New Roman" w:eastAsia="Times New Roman" w:hAnsi="Times New Roman" w:cs="Times New Roman"/>
          <w:i/>
          <w:iCs/>
          <w:sz w:val="22"/>
          <w:szCs w:val="22"/>
        </w:rPr>
        <w:t>blacklist</w:t>
      </w:r>
      <w:r>
        <w:rPr>
          <w:rFonts w:ascii="Times New Roman" w:eastAsia="Times New Roman" w:hAnsi="Times New Roman" w:cs="Times New Roman"/>
          <w:sz w:val="22"/>
          <w:szCs w:val="22"/>
        </w:rPr>
        <w:t>). Tai rodo, kad vartotojai vis dažniau susiduria su rizika kasdien naršydami internete ar naudodamiesi socialiniais tinklais.</w:t>
      </w:r>
    </w:p>
    <w:p w14:paraId="6C57932E" w14:textId="77777777" w:rsidR="00E6728A" w:rsidRDefault="00E6728A">
      <w:pPr>
        <w:jc w:val="both"/>
        <w:rPr>
          <w:rFonts w:ascii="Times New Roman" w:eastAsia="Times New Roman" w:hAnsi="Times New Roman" w:cs="Times New Roman"/>
          <w:sz w:val="22"/>
          <w:szCs w:val="22"/>
        </w:rPr>
      </w:pPr>
    </w:p>
    <w:p w14:paraId="76B64371" w14:textId="77777777" w:rsidR="00E6728A"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Apsauga prasideda dar prieš paspaudžiant nuorodą</w:t>
      </w:r>
    </w:p>
    <w:p w14:paraId="49465071" w14:textId="77777777" w:rsidR="00E6728A" w:rsidRDefault="00E6728A">
      <w:pPr>
        <w:jc w:val="both"/>
        <w:rPr>
          <w:rFonts w:ascii="Times New Roman" w:eastAsia="Times New Roman" w:hAnsi="Times New Roman" w:cs="Times New Roman"/>
          <w:sz w:val="22"/>
          <w:szCs w:val="22"/>
        </w:rPr>
      </w:pPr>
    </w:p>
    <w:p w14:paraId="2988EBC6" w14:textId="77777777" w:rsidR="00E6728A"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Pasak eksperto, viena dažniausių klaidų – vartotojų pasitikėjimas pirmuoju įspūdžiu.</w:t>
      </w:r>
    </w:p>
    <w:p w14:paraId="04C9D3EA" w14:textId="77777777" w:rsidR="00E6728A" w:rsidRDefault="00E6728A">
      <w:pPr>
        <w:jc w:val="both"/>
        <w:rPr>
          <w:rFonts w:ascii="Times New Roman" w:eastAsia="Times New Roman" w:hAnsi="Times New Roman" w:cs="Times New Roman"/>
          <w:sz w:val="22"/>
          <w:szCs w:val="22"/>
        </w:rPr>
      </w:pPr>
    </w:p>
    <w:p w14:paraId="4DD36856" w14:textId="1A8B3E71" w:rsidR="00E6728A"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„Įtarimą turėtų kelti ir situacijos, kai puslapis prašo suvesti per daug duomenų, siūlo neįprastus atsiskaitymo būdus ar nukreipia į kelias skirtingas tarpininkų nuorodas. Taip pat verta pasitikrinti, ar parduotuvė pateikia aiškius kontaktus, grąžinimo sąlygas ir ar apie ją galima rasti patikimų atsiliepimų“, – teigia jis.</w:t>
      </w:r>
    </w:p>
    <w:p w14:paraId="42568B27" w14:textId="77777777" w:rsidR="00E6728A" w:rsidRDefault="00E6728A">
      <w:pPr>
        <w:jc w:val="both"/>
        <w:rPr>
          <w:rFonts w:ascii="Times New Roman" w:eastAsia="Times New Roman" w:hAnsi="Times New Roman" w:cs="Times New Roman"/>
          <w:sz w:val="22"/>
          <w:szCs w:val="22"/>
        </w:rPr>
      </w:pPr>
    </w:p>
    <w:p w14:paraId="0D251DD4" w14:textId="77777777" w:rsidR="00E6728A"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D. Drakickio teigimu, dalį tokių grėsmių galima sustabdyti dar prieš joms pasiekiant vartotoją. „Tele2” naudoja tinklo lygmens apsaugą, kuri realiu laiku tikrina lankomus adresus ir blokuoja pavojingus puslapius dar prieš užmezgant ryšį.</w:t>
      </w:r>
    </w:p>
    <w:p w14:paraId="63F60C81" w14:textId="77777777" w:rsidR="00E6728A" w:rsidRDefault="00E6728A">
      <w:pPr>
        <w:jc w:val="both"/>
        <w:rPr>
          <w:rFonts w:ascii="Times New Roman" w:eastAsia="Times New Roman" w:hAnsi="Times New Roman" w:cs="Times New Roman"/>
          <w:sz w:val="22"/>
          <w:szCs w:val="22"/>
        </w:rPr>
      </w:pPr>
    </w:p>
    <w:p w14:paraId="714A9D6F" w14:textId="77777777" w:rsidR="00E6728A"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„Skirtingai nei antivirusinės programos, kurios reaguoja jau po to, kai pavojus patenka į įrenginį, tinklo lygmens apsauga veikia kaip pirmoji gynybos linija. Ji neleidžia vartotojui net atidaryti pavojingo puslapio“, – aiškina ekspertas.</w:t>
      </w:r>
    </w:p>
    <w:p w14:paraId="56868CBB" w14:textId="77777777" w:rsidR="00E6728A" w:rsidRDefault="00E6728A">
      <w:pPr>
        <w:jc w:val="both"/>
        <w:rPr>
          <w:rFonts w:ascii="Times New Roman" w:eastAsia="Times New Roman" w:hAnsi="Times New Roman" w:cs="Times New Roman"/>
          <w:sz w:val="22"/>
          <w:szCs w:val="22"/>
        </w:rPr>
      </w:pPr>
    </w:p>
    <w:p w14:paraId="02D1C0DF" w14:textId="77777777" w:rsidR="00E6728A"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Pasak jo, tai ypač aktualu tiems vartotojams, kurie yra neįsigilinę į technologinius sprendimus, tačiau nori paprastos ir efektyvios apsaugos kasdieniam naudojimui.</w:t>
      </w:r>
    </w:p>
    <w:p w14:paraId="43E0E3CF" w14:textId="77777777" w:rsidR="00E6728A" w:rsidRDefault="00E6728A">
      <w:pPr>
        <w:jc w:val="both"/>
        <w:rPr>
          <w:rFonts w:ascii="Times New Roman" w:eastAsia="Times New Roman" w:hAnsi="Times New Roman" w:cs="Times New Roman"/>
          <w:b/>
          <w:bCs/>
          <w:sz w:val="22"/>
          <w:szCs w:val="22"/>
        </w:rPr>
      </w:pPr>
    </w:p>
    <w:p w14:paraId="259049E7" w14:textId="77777777" w:rsidR="00E6728A"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Svarbiausia – nepasitikėti aklai</w:t>
      </w:r>
    </w:p>
    <w:p w14:paraId="2B6FFB43" w14:textId="77777777" w:rsidR="00E6728A" w:rsidRDefault="00E6728A">
      <w:pPr>
        <w:jc w:val="both"/>
        <w:rPr>
          <w:rFonts w:ascii="Times New Roman" w:eastAsia="Times New Roman" w:hAnsi="Times New Roman" w:cs="Times New Roman"/>
          <w:b/>
          <w:bCs/>
          <w:sz w:val="22"/>
          <w:szCs w:val="22"/>
        </w:rPr>
      </w:pPr>
    </w:p>
    <w:p w14:paraId="0206F2BD" w14:textId="77777777" w:rsidR="00E6728A"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Nors technologiniai sprendimai padeda sumažinti riziką, pagrindinis saugumo veiksnys išlieka vartotojo budrumas.</w:t>
      </w:r>
    </w:p>
    <w:p w14:paraId="5F9AF561" w14:textId="77777777" w:rsidR="00E6728A" w:rsidRDefault="00E6728A">
      <w:pPr>
        <w:jc w:val="both"/>
        <w:rPr>
          <w:rFonts w:ascii="Times New Roman" w:eastAsia="Times New Roman" w:hAnsi="Times New Roman" w:cs="Times New Roman"/>
          <w:sz w:val="22"/>
          <w:szCs w:val="22"/>
        </w:rPr>
      </w:pPr>
    </w:p>
    <w:p w14:paraId="56C47756" w14:textId="77777777" w:rsidR="00E6728A"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„Didžioji dalis sukčiavimo atvejų pavyksta ne dėl technologinių spragų, o dėl žmogiško faktoriaus – skubėjimo, pasitikėjimo ar noro pasinaudoti geru pasiūlymu. Jei pasiūlymas atrodo per geras, kad būtų tiesa – dažniausiai taip ir yra“, – sako D. Drakickas.</w:t>
      </w:r>
    </w:p>
    <w:sectPr w:rsidR="00E6728A">
      <w:headerReference w:type="default" r:id="rId7"/>
      <w:footerReference w:type="default" r:id="rId8"/>
      <w:pgSz w:w="11900" w:h="16840"/>
      <w:pgMar w:top="1440" w:right="1440" w:bottom="1440" w:left="1440" w:header="709" w:footer="709"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FB6B46" w14:textId="77777777" w:rsidR="00233939" w:rsidRDefault="00233939">
      <w:r>
        <w:separator/>
      </w:r>
    </w:p>
  </w:endnote>
  <w:endnote w:type="continuationSeparator" w:id="0">
    <w:p w14:paraId="4B87FCB5" w14:textId="77777777" w:rsidR="00233939" w:rsidRDefault="002339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200247B" w:usb2="00000009" w:usb3="00000000" w:csb0="000001FF" w:csb1="00000000"/>
    <w:embedRegular r:id="rId1" w:fontKey="{6D8D3013-0BDD-4457-A5E9-D75A87FA18D8}"/>
    <w:embedBold r:id="rId2" w:fontKey="{339571A8-F874-4402-B914-CC8518C279B1}"/>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embedItalic r:id="rId3" w:fontKey="{1B7246DC-0FB4-4AEA-BD9C-017FAFBEC608}"/>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4" w:fontKey="{FE38113F-7474-4ACD-8EC1-9497081AE45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57869" w14:textId="77777777" w:rsidR="00E6728A" w:rsidRDefault="00000000">
    <w:pPr>
      <w:rPr>
        <w:rFonts w:ascii="Arial" w:eastAsia="Arial" w:hAnsi="Arial" w:cs="Arial"/>
        <w:b/>
        <w:bCs/>
        <w:sz w:val="16"/>
        <w:szCs w:val="16"/>
      </w:rPr>
    </w:pPr>
    <w:r>
      <w:rPr>
        <w:rFonts w:ascii="Arial" w:eastAsia="Arial" w:hAnsi="Arial" w:cs="Arial"/>
        <w:b/>
        <w:bCs/>
        <w:sz w:val="16"/>
        <w:szCs w:val="16"/>
      </w:rPr>
      <w:t>Apie „Tele2“</w:t>
    </w:r>
    <w:r>
      <w:rPr>
        <w:noProof/>
      </w:rPr>
      <mc:AlternateContent>
        <mc:Choice Requires="wpg">
          <w:drawing>
            <wp:anchor distT="0" distB="0" distL="114300" distR="114300" simplePos="0" relativeHeight="251659264" behindDoc="0" locked="0" layoutInCell="1" hidden="0" allowOverlap="1" wp14:anchorId="1002FB89" wp14:editId="5D78696B">
              <wp:simplePos x="0" y="0"/>
              <wp:positionH relativeFrom="column">
                <wp:posOffset>-919161</wp:posOffset>
              </wp:positionH>
              <wp:positionV relativeFrom="paragraph">
                <wp:posOffset>10224453</wp:posOffset>
              </wp:positionV>
              <wp:extent cx="7566025" cy="282575"/>
              <wp:effectExtent l="0" t="0" r="0" b="0"/>
              <wp:wrapNone/>
              <wp:docPr id="1" name="Rectangle 1" descr="{&quot;HashCode&quot;:-639942987,&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wps:spPr>
                      <a:xfrm>
                        <a:off x="1567750" y="3643475"/>
                        <a:ext cx="7556500" cy="273050"/>
                      </a:xfrm>
                      <a:prstGeom prst="rect">
                        <a:avLst/>
                      </a:prstGeom>
                      <a:noFill/>
                      <a:ln>
                        <a:noFill/>
                      </a:ln>
                    </wps:spPr>
                    <wps:txbx>
                      <w:txbxContent>
                        <w:p w14:paraId="6F7125FB" w14:textId="77777777" w:rsidR="00E6728A" w:rsidRDefault="00E6728A">
                          <w:pPr>
                            <w:textDirection w:val="btLr"/>
                          </w:pPr>
                        </w:p>
                      </w:txbxContent>
                    </wps:txbx>
                    <wps:bodyPr spcFirstLastPara="1" wrap="square" lIns="254000" tIns="0" rIns="91425" bIns="0" anchor="b"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-919161</wp:posOffset>
              </wp:positionH>
              <wp:positionV relativeFrom="paragraph">
                <wp:posOffset>10224453</wp:posOffset>
              </wp:positionV>
              <wp:extent cx="7566025" cy="282575"/>
              <wp:effectExtent b="0" l="0" r="0" t="0"/>
              <wp:wrapNone/>
              <wp:docPr descr="{&quot;HashCode&quot;:-639942987,&quot;Height&quot;:842.0,&quot;Width&quot;:595.0,&quot;Placement&quot;:&quot;Footer&quot;,&quot;Index&quot;:&quot;Primary&quot;,&quot;Section&quot;:1,&quot;Top&quot;:0.0,&quot;Left&quot;:0.0}" id="1" name="image2.png"/>
              <a:graphic>
                <a:graphicData uri="http://schemas.openxmlformats.org/drawingml/2006/picture">
                  <pic:pic>
                    <pic:nvPicPr>
                      <pic:cNvPr descr="{&quot;HashCode&quot;:-639942987,&quot;Height&quot;:842.0,&quot;Width&quot;:595.0,&quot;Placement&quot;:&quot;Footer&quot;,&quot;Index&quot;:&quot;Primary&quot;,&quot;Section&quot;:1,&quot;Top&quot;:0.0,&quot;Left&quot;:0.0}" id="0" name="image2.png"/>
                      <pic:cNvPicPr preferRelativeResize="0"/>
                    </pic:nvPicPr>
                    <pic:blipFill>
                      <a:blip r:embed="rId1"/>
                      <a:srcRect/>
                      <a:stretch>
                        <a:fillRect/>
                      </a:stretch>
                    </pic:blipFill>
                    <pic:spPr>
                      <a:xfrm>
                        <a:off x="0" y="0"/>
                        <a:ext cx="7566025" cy="282575"/>
                      </a:xfrm>
                      <a:prstGeom prst="rect"/>
                      <a:ln/>
                    </pic:spPr>
                  </pic:pic>
                </a:graphicData>
              </a:graphic>
            </wp:anchor>
          </w:drawing>
        </mc:Fallback>
      </mc:AlternateContent>
    </w:r>
  </w:p>
  <w:p w14:paraId="44C94D27" w14:textId="77777777" w:rsidR="00E6728A" w:rsidRDefault="00000000">
    <w:pPr>
      <w:jc w:val="both"/>
      <w:rPr>
        <w:rFonts w:ascii="Arial" w:eastAsia="Arial" w:hAnsi="Arial" w:cs="Arial"/>
        <w:color w:val="0000FF"/>
        <w:sz w:val="18"/>
        <w:szCs w:val="18"/>
        <w:u w:val="single"/>
      </w:rPr>
    </w:pPr>
    <w:r>
      <w:rPr>
        <w:rFonts w:ascii="Arial" w:eastAsia="Arial" w:hAnsi="Arial" w:cs="Arial"/>
        <w:sz w:val="18"/>
        <w:szCs w:val="18"/>
      </w:rPr>
      <w:t xml:space="preserve">„Tele2“ nuolatos siekia teikti geriausius pasiūlymus ir siūlyti mažiausias kainas rinkoje. Bendrovė teikia mobiliojo ir fiksuoto ryšio, duomenų perdavimo, kabelinės televizijos, turinio ir daiktų interneto sprendimų paslaugas milijonams klientų. Nuo 1993 m., kai Jan Stenbeck įkūrė bendrovę, ji tapo rimtu konkurentu buvusioms valstybinėms monopolijoms ir kitiems ryšio tiekėjams. Nuo 1996 m. „Tele2“ įtraukta į NASDAQ OMX Stokholmo vertybinių popierių biržos sąrašus. Lietuvoje „Tele2“ pradėjo veiklą 2000 metais. Aplankykite mus </w:t>
    </w:r>
    <w:hyperlink r:id="rId2">
      <w:r w:rsidR="00E6728A">
        <w:rPr>
          <w:rFonts w:ascii="Arial" w:eastAsia="Arial" w:hAnsi="Arial" w:cs="Arial"/>
          <w:color w:val="0000FF"/>
          <w:sz w:val="18"/>
          <w:szCs w:val="18"/>
          <w:u w:val="single"/>
        </w:rPr>
        <w:t>www.tele2.lt</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C24904" w14:textId="77777777" w:rsidR="00233939" w:rsidRDefault="00233939">
      <w:r>
        <w:separator/>
      </w:r>
    </w:p>
  </w:footnote>
  <w:footnote w:type="continuationSeparator" w:id="0">
    <w:p w14:paraId="1B6A63E8" w14:textId="77777777" w:rsidR="00233939" w:rsidRDefault="002339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8267A" w14:textId="77777777" w:rsidR="00E6728A" w:rsidRDefault="00000000">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14:anchorId="5B04BFE9" wp14:editId="604346E0">
          <wp:simplePos x="0" y="0"/>
          <wp:positionH relativeFrom="column">
            <wp:posOffset>4753610</wp:posOffset>
          </wp:positionH>
          <wp:positionV relativeFrom="paragraph">
            <wp:posOffset>-266064</wp:posOffset>
          </wp:positionV>
          <wp:extent cx="1046191" cy="557969"/>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46191" cy="557969"/>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728A"/>
    <w:rsid w:val="00233939"/>
    <w:rsid w:val="007D21D6"/>
    <w:rsid w:val="008C1921"/>
    <w:rsid w:val="00917062"/>
    <w:rsid w:val="00A25B77"/>
    <w:rsid w:val="00E6728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D68924"/>
  <w15:docId w15:val="{46B70E26-442B-433F-B1EB-80C8E2FC71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40"/>
      <w:outlineLvl w:val="1"/>
    </w:pPr>
    <w:rPr>
      <w:color w:val="2F5496"/>
      <w:sz w:val="26"/>
      <w:szCs w:val="26"/>
    </w:rPr>
  </w:style>
  <w:style w:type="paragraph" w:styleId="Heading3">
    <w:name w:val="heading 3"/>
    <w:basedOn w:val="Normal"/>
    <w:next w:val="Normal"/>
    <w:uiPriority w:val="9"/>
    <w:semiHidden/>
    <w:unhideWhenUsed/>
    <w:qFormat/>
    <w:pPr>
      <w:outlineLvl w:val="2"/>
    </w:pPr>
    <w:rPr>
      <w:rFonts w:ascii="Times New Roman" w:eastAsia="Times New Roman" w:hAnsi="Times New Roman" w:cs="Times New Roman"/>
      <w:b/>
      <w:bCs/>
      <w:sz w:val="27"/>
      <w:szCs w:val="27"/>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tele2.lt"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YUtgWoFAqMMoZiE8zeHc2GSv0g==">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2529</Words>
  <Characters>1443</Characters>
  <Application>Microsoft Office Word</Application>
  <DocSecurity>0</DocSecurity>
  <Lines>12</Lines>
  <Paragraphs>7</Paragraphs>
  <ScaleCrop>false</ScaleCrop>
  <Company/>
  <LinksUpToDate>false</LinksUpToDate>
  <CharactersWithSpaces>3965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Gravitas Partners</cp:lastModifiedBy>
  <cp:revision>3</cp:revision>
  <dcterms:created xsi:type="dcterms:W3CDTF">2026-05-11T15:16:00Z</dcterms:created>
  <dcterms:modified xsi:type="dcterms:W3CDTF">2026-05-11T15:34:00Z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cca9737-3fb7-4a23-a452-5fd2dddae788_Enabled">
    <vt:lpwstr>true</vt:lpwstr>
  </property>
  <property fmtid="{D5CDD505-2E9C-101B-9397-08002B2CF9AE}" pid="3" name="MSIP_Label_ecca9737-3fb7-4a23-a452-5fd2dddae788_SetDate">
    <vt:lpwstr>2021-07-05T05:13:11Z</vt:lpwstr>
  </property>
  <property fmtid="{D5CDD505-2E9C-101B-9397-08002B2CF9AE}" pid="4" name="MSIP_Label_ecca9737-3fb7-4a23-a452-5fd2dddae788_Method">
    <vt:lpwstr>Standard</vt:lpwstr>
  </property>
  <property fmtid="{D5CDD505-2E9C-101B-9397-08002B2CF9AE}" pid="5" name="MSIP_Label_ecca9737-3fb7-4a23-a452-5fd2dddae788_Name">
    <vt:lpwstr>Internal</vt:lpwstr>
  </property>
  <property fmtid="{D5CDD505-2E9C-101B-9397-08002B2CF9AE}" pid="6" name="MSIP_Label_ecca9737-3fb7-4a23-a452-5fd2dddae788_SiteId">
    <vt:lpwstr>76431109-ff89-42c2-8781-a07ca07a2d57</vt:lpwstr>
  </property>
  <property fmtid="{D5CDD505-2E9C-101B-9397-08002B2CF9AE}" pid="7" name="MSIP_Label_ecca9737-3fb7-4a23-a452-5fd2dddae788_ActionId">
    <vt:lpwstr>55c7c224-13ca-42fc-9f2a-8bfe461c24fc</vt:lpwstr>
  </property>
  <property fmtid="{D5CDD505-2E9C-101B-9397-08002B2CF9AE}" pid="8" name="MSIP_Label_ecca9737-3fb7-4a23-a452-5fd2dddae788_ContentBits">
    <vt:lpwstr>2</vt:lpwstr>
  </property>
  <property fmtid="{D5CDD505-2E9C-101B-9397-08002B2CF9AE}" pid="9" name="GrammarlyDocumentId">
    <vt:lpwstr>a7bab780030ea9a742b2af2ed669654013791b30c7984ad079e31a1d543ee316</vt:lpwstr>
  </property>
</Properties>
</file>