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BD8D019" w14:textId="77777777" w:rsidR="00B30096" w:rsidRDefault="00FD7F20">
      <w:pPr>
        <w:spacing w:line="259" w:lineRule="auto"/>
        <w:jc w:val="both"/>
        <w:rPr>
          <w:rFonts w:ascii="Calibri" w:eastAsia="Calibri" w:hAnsi="Calibri" w:cs="Calibri"/>
          <w:i/>
          <w:iCs/>
          <w:sz w:val="20"/>
          <w:szCs w:val="20"/>
        </w:rPr>
      </w:pPr>
      <w:r>
        <w:rPr>
          <w:rFonts w:ascii="Calibri" w:eastAsia="Calibri" w:hAnsi="Calibri" w:cs="Calibri"/>
          <w:i/>
          <w:iCs/>
          <w:sz w:val="20"/>
          <w:szCs w:val="20"/>
        </w:rPr>
        <w:t>Pranešimas žiniasklaidai</w:t>
      </w:r>
    </w:p>
    <w:p w14:paraId="1BD8D01A" w14:textId="398D09A9" w:rsidR="00B30096" w:rsidRDefault="00FD7F20">
      <w:pPr>
        <w:spacing w:line="259" w:lineRule="auto"/>
        <w:jc w:val="both"/>
        <w:rPr>
          <w:rFonts w:ascii="Calibri" w:eastAsia="Calibri" w:hAnsi="Calibri" w:cs="Calibri"/>
          <w:i/>
          <w:iCs/>
          <w:sz w:val="20"/>
          <w:szCs w:val="20"/>
        </w:rPr>
      </w:pPr>
      <w:r>
        <w:rPr>
          <w:rFonts w:ascii="Calibri" w:eastAsia="Calibri" w:hAnsi="Calibri" w:cs="Calibri"/>
          <w:i/>
          <w:iCs/>
          <w:sz w:val="20"/>
          <w:szCs w:val="20"/>
        </w:rPr>
        <w:t xml:space="preserve">2026 m. gegužės </w:t>
      </w:r>
      <w:r w:rsidR="00D67E74">
        <w:rPr>
          <w:rFonts w:ascii="Calibri" w:eastAsia="Calibri" w:hAnsi="Calibri" w:cs="Calibri"/>
          <w:i/>
          <w:iCs/>
          <w:sz w:val="20"/>
          <w:szCs w:val="20"/>
        </w:rPr>
        <w:t xml:space="preserve">13 </w:t>
      </w:r>
      <w:r>
        <w:rPr>
          <w:rFonts w:ascii="Calibri" w:eastAsia="Calibri" w:hAnsi="Calibri" w:cs="Calibri"/>
          <w:i/>
          <w:iCs/>
          <w:sz w:val="20"/>
          <w:szCs w:val="20"/>
        </w:rPr>
        <w:t xml:space="preserve">d. </w:t>
      </w:r>
    </w:p>
    <w:p w14:paraId="1BD8D01B" w14:textId="77777777" w:rsidR="00B30096" w:rsidRDefault="00B30096">
      <w:pPr>
        <w:spacing w:after="160" w:line="259" w:lineRule="auto"/>
        <w:jc w:val="both"/>
        <w:rPr>
          <w:rFonts w:ascii="Calibri" w:eastAsia="Calibri" w:hAnsi="Calibri" w:cs="Calibri"/>
          <w:b/>
          <w:bCs/>
          <w:sz w:val="28"/>
          <w:szCs w:val="28"/>
        </w:rPr>
      </w:pPr>
    </w:p>
    <w:p w14:paraId="1BD8D01C" w14:textId="77777777" w:rsidR="00B30096" w:rsidRDefault="00FD7F20">
      <w:pPr>
        <w:spacing w:after="160" w:line="259" w:lineRule="auto"/>
        <w:jc w:val="both"/>
        <w:rPr>
          <w:rFonts w:ascii="Calibri" w:eastAsia="Calibri" w:hAnsi="Calibri" w:cs="Calibri"/>
          <w:b/>
          <w:bCs/>
          <w:sz w:val="28"/>
          <w:szCs w:val="28"/>
        </w:rPr>
      </w:pPr>
      <w:r>
        <w:rPr>
          <w:rFonts w:ascii="Calibri" w:eastAsia="Calibri" w:hAnsi="Calibri" w:cs="Calibri"/>
          <w:b/>
          <w:bCs/>
          <w:sz w:val="28"/>
          <w:szCs w:val="28"/>
        </w:rPr>
        <w:t xml:space="preserve">„DS1 </w:t>
      </w:r>
      <w:proofErr w:type="spellStart"/>
      <w:r>
        <w:rPr>
          <w:rFonts w:ascii="Calibri" w:eastAsia="Calibri" w:hAnsi="Calibri" w:cs="Calibri"/>
          <w:b/>
          <w:bCs/>
          <w:sz w:val="28"/>
          <w:szCs w:val="28"/>
        </w:rPr>
        <w:t>Service</w:t>
      </w:r>
      <w:proofErr w:type="spellEnd"/>
      <w:r>
        <w:rPr>
          <w:rFonts w:ascii="Calibri" w:eastAsia="Calibri" w:hAnsi="Calibri" w:cs="Calibri"/>
          <w:b/>
          <w:bCs/>
          <w:sz w:val="28"/>
          <w:szCs w:val="28"/>
        </w:rPr>
        <w:t xml:space="preserve">“ prižiūrės „Litgrid“ pietų regiono 110–400 </w:t>
      </w:r>
      <w:proofErr w:type="spellStart"/>
      <w:r>
        <w:rPr>
          <w:rFonts w:ascii="Calibri" w:eastAsia="Calibri" w:hAnsi="Calibri" w:cs="Calibri"/>
          <w:b/>
          <w:bCs/>
          <w:sz w:val="28"/>
          <w:szCs w:val="28"/>
        </w:rPr>
        <w:t>kV</w:t>
      </w:r>
      <w:proofErr w:type="spellEnd"/>
      <w:r>
        <w:rPr>
          <w:rFonts w:ascii="Calibri" w:eastAsia="Calibri" w:hAnsi="Calibri" w:cs="Calibri"/>
          <w:b/>
          <w:bCs/>
          <w:sz w:val="28"/>
          <w:szCs w:val="28"/>
        </w:rPr>
        <w:t xml:space="preserve"> transformatorių pastočių infrastruktūrą</w:t>
      </w:r>
    </w:p>
    <w:p w14:paraId="1BD8D01D" w14:textId="70B99E40" w:rsidR="00B30096" w:rsidRDefault="00FD7F20">
      <w:pPr>
        <w:spacing w:after="160" w:line="259" w:lineRule="auto"/>
        <w:jc w:val="both"/>
        <w:rPr>
          <w:rFonts w:ascii="Calibri" w:eastAsia="Calibri" w:hAnsi="Calibri" w:cs="Calibri"/>
          <w:b/>
          <w:bCs/>
          <w:sz w:val="24"/>
          <w:szCs w:val="24"/>
        </w:rPr>
      </w:pPr>
      <w:r>
        <w:rPr>
          <w:rFonts w:ascii="Calibri" w:eastAsia="Calibri" w:hAnsi="Calibri" w:cs="Calibri"/>
          <w:b/>
          <w:bCs/>
          <w:sz w:val="24"/>
          <w:szCs w:val="24"/>
        </w:rPr>
        <w:t xml:space="preserve">Energetikos infrastruktūros įmonių grupei „DS1“ priklausanti „DS1 </w:t>
      </w:r>
      <w:proofErr w:type="spellStart"/>
      <w:r>
        <w:rPr>
          <w:rFonts w:ascii="Calibri" w:eastAsia="Calibri" w:hAnsi="Calibri" w:cs="Calibri"/>
          <w:b/>
          <w:bCs/>
          <w:sz w:val="24"/>
          <w:szCs w:val="24"/>
        </w:rPr>
        <w:t>Service</w:t>
      </w:r>
      <w:proofErr w:type="spellEnd"/>
      <w:r>
        <w:rPr>
          <w:rFonts w:ascii="Calibri" w:eastAsia="Calibri" w:hAnsi="Calibri" w:cs="Calibri"/>
          <w:b/>
          <w:bCs/>
          <w:sz w:val="24"/>
          <w:szCs w:val="24"/>
        </w:rPr>
        <w:t>“ pasirašė 5 metų sutartį su Lietuvos elektros perdavimo sistemos operator</w:t>
      </w:r>
      <w:r w:rsidR="00617A6E">
        <w:rPr>
          <w:rFonts w:ascii="Calibri" w:eastAsia="Calibri" w:hAnsi="Calibri" w:cs="Calibri"/>
          <w:b/>
          <w:bCs/>
          <w:sz w:val="24"/>
          <w:szCs w:val="24"/>
        </w:rPr>
        <w:t>e</w:t>
      </w:r>
      <w:r>
        <w:rPr>
          <w:rFonts w:ascii="Calibri" w:eastAsia="Calibri" w:hAnsi="Calibri" w:cs="Calibri"/>
          <w:b/>
          <w:bCs/>
          <w:sz w:val="24"/>
          <w:szCs w:val="24"/>
        </w:rPr>
        <w:t xml:space="preserve"> „Litgrid“ dėl 110–400 </w:t>
      </w:r>
      <w:proofErr w:type="spellStart"/>
      <w:r>
        <w:rPr>
          <w:rFonts w:ascii="Calibri" w:eastAsia="Calibri" w:hAnsi="Calibri" w:cs="Calibri"/>
          <w:b/>
          <w:bCs/>
          <w:sz w:val="24"/>
          <w:szCs w:val="24"/>
        </w:rPr>
        <w:t>kV</w:t>
      </w:r>
      <w:proofErr w:type="spellEnd"/>
      <w:r>
        <w:rPr>
          <w:rFonts w:ascii="Calibri" w:eastAsia="Calibri" w:hAnsi="Calibri" w:cs="Calibri"/>
          <w:b/>
          <w:bCs/>
          <w:sz w:val="24"/>
          <w:szCs w:val="24"/>
        </w:rPr>
        <w:t xml:space="preserve"> transformatorių pastočių eksploatavimo darbų Lietuvos pietų regione. Maksimali sutarties vertė viršija 12 mln. eurų, darbai pagal ją bus perkami pagal poreikį.</w:t>
      </w:r>
    </w:p>
    <w:p w14:paraId="1BD8D01E" w14:textId="74BB125D" w:rsidR="00B30096" w:rsidRDefault="00FD7F20">
      <w:pPr>
        <w:spacing w:after="160" w:line="259" w:lineRule="auto"/>
        <w:jc w:val="both"/>
        <w:rPr>
          <w:rFonts w:ascii="Calibri" w:eastAsia="Calibri" w:hAnsi="Calibri" w:cs="Calibri"/>
          <w:sz w:val="24"/>
          <w:szCs w:val="24"/>
        </w:rPr>
      </w:pPr>
      <w:r w:rsidRPr="68F69C64">
        <w:rPr>
          <w:rFonts w:ascii="Calibri" w:eastAsia="Calibri" w:hAnsi="Calibri" w:cs="Calibri"/>
          <w:sz w:val="24"/>
          <w:szCs w:val="24"/>
        </w:rPr>
        <w:t xml:space="preserve">Pagal sutartį „DS1 </w:t>
      </w:r>
      <w:proofErr w:type="spellStart"/>
      <w:r w:rsidRPr="68F69C64">
        <w:rPr>
          <w:rFonts w:ascii="Calibri" w:eastAsia="Calibri" w:hAnsi="Calibri" w:cs="Calibri"/>
          <w:sz w:val="24"/>
          <w:szCs w:val="24"/>
        </w:rPr>
        <w:t>Service</w:t>
      </w:r>
      <w:proofErr w:type="spellEnd"/>
      <w:r w:rsidRPr="68F69C64">
        <w:rPr>
          <w:rFonts w:ascii="Calibri" w:eastAsia="Calibri" w:hAnsi="Calibri" w:cs="Calibri"/>
          <w:sz w:val="24"/>
          <w:szCs w:val="24"/>
        </w:rPr>
        <w:t xml:space="preserve">“ prižiūrės </w:t>
      </w:r>
      <w:r w:rsidR="00FA7AD7">
        <w:rPr>
          <w:rFonts w:ascii="Calibri" w:eastAsia="Calibri" w:hAnsi="Calibri" w:cs="Calibri"/>
          <w:sz w:val="24"/>
          <w:szCs w:val="24"/>
        </w:rPr>
        <w:t xml:space="preserve">70 </w:t>
      </w:r>
      <w:r w:rsidRPr="68F69C64">
        <w:rPr>
          <w:rFonts w:ascii="Calibri" w:eastAsia="Calibri" w:hAnsi="Calibri" w:cs="Calibri"/>
          <w:sz w:val="24"/>
          <w:szCs w:val="24"/>
        </w:rPr>
        <w:t>aukštos įtampos objekt</w:t>
      </w:r>
      <w:r w:rsidR="00FA7AD7">
        <w:rPr>
          <w:rFonts w:ascii="Calibri" w:eastAsia="Calibri" w:hAnsi="Calibri" w:cs="Calibri"/>
          <w:sz w:val="24"/>
          <w:szCs w:val="24"/>
        </w:rPr>
        <w:t>ų</w:t>
      </w:r>
      <w:r w:rsidRPr="68F69C64">
        <w:rPr>
          <w:rFonts w:ascii="Calibri" w:eastAsia="Calibri" w:hAnsi="Calibri" w:cs="Calibri"/>
          <w:sz w:val="24"/>
          <w:szCs w:val="24"/>
        </w:rPr>
        <w:t xml:space="preserve"> Pietų Lietuvoje. Į sutarties apimtį patenka 110–400 </w:t>
      </w:r>
      <w:proofErr w:type="spellStart"/>
      <w:r w:rsidRPr="68F69C64">
        <w:rPr>
          <w:rFonts w:ascii="Calibri" w:eastAsia="Calibri" w:hAnsi="Calibri" w:cs="Calibri"/>
          <w:sz w:val="24"/>
          <w:szCs w:val="24"/>
        </w:rPr>
        <w:t>kV</w:t>
      </w:r>
      <w:proofErr w:type="spellEnd"/>
      <w:r w:rsidRPr="68F69C64">
        <w:rPr>
          <w:rFonts w:ascii="Calibri" w:eastAsia="Calibri" w:hAnsi="Calibri" w:cs="Calibri"/>
          <w:sz w:val="24"/>
          <w:szCs w:val="24"/>
        </w:rPr>
        <w:t xml:space="preserve"> transformatorių pastotės Kauno ir Alytaus zonose, tarp jų –</w:t>
      </w:r>
      <w:r w:rsidR="00FA7AD7">
        <w:rPr>
          <w:rFonts w:ascii="Calibri" w:eastAsia="Calibri" w:hAnsi="Calibri" w:cs="Calibri"/>
          <w:sz w:val="24"/>
          <w:szCs w:val="24"/>
        </w:rPr>
        <w:t xml:space="preserve"> „LitPol Link“ skirstykla ir transformatorių pastotė</w:t>
      </w:r>
      <w:r w:rsidR="00DF365C">
        <w:rPr>
          <w:rFonts w:ascii="Calibri" w:eastAsia="Calibri" w:hAnsi="Calibri" w:cs="Calibri"/>
          <w:sz w:val="24"/>
          <w:szCs w:val="24"/>
        </w:rPr>
        <w:t xml:space="preserve"> Alytaus rajone, </w:t>
      </w:r>
      <w:r w:rsidRPr="68F69C64">
        <w:rPr>
          <w:rFonts w:ascii="Calibri" w:eastAsia="Calibri" w:hAnsi="Calibri" w:cs="Calibri"/>
          <w:sz w:val="24"/>
          <w:szCs w:val="24"/>
        </w:rPr>
        <w:t>Kruonio HAE</w:t>
      </w:r>
      <w:r w:rsidR="00DF365C">
        <w:rPr>
          <w:rFonts w:ascii="Calibri" w:eastAsia="Calibri" w:hAnsi="Calibri" w:cs="Calibri"/>
          <w:sz w:val="24"/>
          <w:szCs w:val="24"/>
        </w:rPr>
        <w:t xml:space="preserve"> skirstykla</w:t>
      </w:r>
      <w:r w:rsidRPr="68F69C64">
        <w:rPr>
          <w:rFonts w:ascii="Calibri" w:eastAsia="Calibri" w:hAnsi="Calibri" w:cs="Calibri"/>
          <w:sz w:val="24"/>
          <w:szCs w:val="24"/>
        </w:rPr>
        <w:t>, Kauno HE</w:t>
      </w:r>
      <w:r w:rsidR="00DF365C">
        <w:rPr>
          <w:rFonts w:ascii="Calibri" w:eastAsia="Calibri" w:hAnsi="Calibri" w:cs="Calibri"/>
          <w:sz w:val="24"/>
          <w:szCs w:val="24"/>
        </w:rPr>
        <w:t xml:space="preserve"> skirstykla </w:t>
      </w:r>
      <w:r w:rsidRPr="68F69C64">
        <w:rPr>
          <w:rFonts w:ascii="Calibri" w:eastAsia="Calibri" w:hAnsi="Calibri" w:cs="Calibri"/>
          <w:sz w:val="24"/>
          <w:szCs w:val="24"/>
        </w:rPr>
        <w:t xml:space="preserve">ir </w:t>
      </w:r>
      <w:r w:rsidR="00DF365C">
        <w:rPr>
          <w:rFonts w:ascii="Calibri" w:eastAsia="Calibri" w:hAnsi="Calibri" w:cs="Calibri"/>
          <w:sz w:val="24"/>
          <w:szCs w:val="24"/>
        </w:rPr>
        <w:t>kitos</w:t>
      </w:r>
      <w:r w:rsidR="00DF365C" w:rsidRPr="68F69C64">
        <w:rPr>
          <w:rFonts w:ascii="Calibri" w:eastAsia="Calibri" w:hAnsi="Calibri" w:cs="Calibri"/>
          <w:sz w:val="24"/>
          <w:szCs w:val="24"/>
        </w:rPr>
        <w:t xml:space="preserve"> </w:t>
      </w:r>
      <w:r w:rsidRPr="68F69C64">
        <w:rPr>
          <w:rFonts w:ascii="Calibri" w:eastAsia="Calibri" w:hAnsi="Calibri" w:cs="Calibri"/>
          <w:sz w:val="24"/>
          <w:szCs w:val="24"/>
        </w:rPr>
        <w:t>šių regionų pastotės. Pagal poreikį darbai galės būti vykdomi ir kituose „Litgrid“ regionuose.</w:t>
      </w:r>
    </w:p>
    <w:p w14:paraId="1BD8D01F" w14:textId="77777777" w:rsidR="00B30096" w:rsidRDefault="00FD7F20">
      <w:pPr>
        <w:spacing w:after="160" w:line="259" w:lineRule="auto"/>
        <w:jc w:val="both"/>
        <w:rPr>
          <w:rFonts w:ascii="Calibri" w:eastAsia="Calibri" w:hAnsi="Calibri" w:cs="Calibri"/>
          <w:sz w:val="24"/>
          <w:szCs w:val="24"/>
        </w:rPr>
      </w:pPr>
      <w:r>
        <w:rPr>
          <w:rFonts w:ascii="Calibri" w:eastAsia="Calibri" w:hAnsi="Calibri" w:cs="Calibri"/>
          <w:sz w:val="24"/>
          <w:szCs w:val="24"/>
        </w:rPr>
        <w:t xml:space="preserve">„DS1 </w:t>
      </w:r>
      <w:proofErr w:type="spellStart"/>
      <w:r>
        <w:rPr>
          <w:rFonts w:ascii="Calibri" w:eastAsia="Calibri" w:hAnsi="Calibri" w:cs="Calibri"/>
          <w:sz w:val="24"/>
          <w:szCs w:val="24"/>
        </w:rPr>
        <w:t>Service</w:t>
      </w:r>
      <w:proofErr w:type="spellEnd"/>
      <w:r>
        <w:rPr>
          <w:rFonts w:ascii="Calibri" w:eastAsia="Calibri" w:hAnsi="Calibri" w:cs="Calibri"/>
          <w:sz w:val="24"/>
          <w:szCs w:val="24"/>
        </w:rPr>
        <w:t>“ vadovas Jaunius Sinkevičius teigia, kad sutartis su „Litgrid“ bendrovei yra svarbi ne tik dėl apimties, bet ir dėl užsakovo bei infrastruktūros, su kuria bus dirbama.</w:t>
      </w:r>
    </w:p>
    <w:p w14:paraId="1BD8D020" w14:textId="77777777" w:rsidR="00B30096" w:rsidRDefault="00FD7F20">
      <w:pPr>
        <w:spacing w:after="160" w:line="259" w:lineRule="auto"/>
        <w:jc w:val="both"/>
        <w:rPr>
          <w:rFonts w:ascii="Calibri" w:eastAsia="Calibri" w:hAnsi="Calibri" w:cs="Calibri"/>
          <w:sz w:val="24"/>
          <w:szCs w:val="24"/>
        </w:rPr>
      </w:pPr>
      <w:r>
        <w:rPr>
          <w:rFonts w:ascii="Calibri" w:eastAsia="Calibri" w:hAnsi="Calibri" w:cs="Calibri"/>
          <w:sz w:val="24"/>
          <w:szCs w:val="24"/>
        </w:rPr>
        <w:t>„Tai viena reikšmingiausių mūsų ilgalaikių sutarčių Lietuvoje. Dirbant su perdavimo tinklo infrastruktūra svarbi procesų disciplina, komandos pasirengimas bei gebėjimas veikti pagal aukštus operatoriaus keliamus reikalavimus. Mums ši sutartis yra pasitikėjimo ženklas ir galimybė auginti specializuotų energetikos infrastruktūros priežiūros paslaugų kryptį“, – sako J. Sinkevičius.</w:t>
      </w:r>
    </w:p>
    <w:p w14:paraId="1BD8D021" w14:textId="77777777" w:rsidR="00B30096" w:rsidRDefault="00FD7F20">
      <w:pPr>
        <w:spacing w:after="160" w:line="259" w:lineRule="auto"/>
        <w:jc w:val="both"/>
        <w:rPr>
          <w:rFonts w:ascii="Calibri" w:eastAsia="Calibri" w:hAnsi="Calibri" w:cs="Calibri"/>
          <w:b/>
          <w:bCs/>
          <w:sz w:val="24"/>
          <w:szCs w:val="24"/>
        </w:rPr>
      </w:pPr>
      <w:r>
        <w:rPr>
          <w:rFonts w:ascii="Calibri" w:eastAsia="Calibri" w:hAnsi="Calibri" w:cs="Calibri"/>
          <w:b/>
          <w:bCs/>
          <w:sz w:val="24"/>
          <w:szCs w:val="24"/>
        </w:rPr>
        <w:t>Žingsnis į perdavimo tinklo infrastruktūros priežiūrą</w:t>
      </w:r>
    </w:p>
    <w:p w14:paraId="1BD8D022" w14:textId="77777777" w:rsidR="00B30096" w:rsidRDefault="00FD7F20">
      <w:pPr>
        <w:spacing w:after="160" w:line="259" w:lineRule="auto"/>
        <w:jc w:val="both"/>
        <w:rPr>
          <w:rFonts w:ascii="Calibri" w:eastAsia="Calibri" w:hAnsi="Calibri" w:cs="Calibri"/>
          <w:sz w:val="24"/>
          <w:szCs w:val="24"/>
        </w:rPr>
      </w:pPr>
      <w:r>
        <w:rPr>
          <w:rFonts w:ascii="Calibri" w:eastAsia="Calibri" w:hAnsi="Calibri" w:cs="Calibri"/>
          <w:sz w:val="24"/>
          <w:szCs w:val="24"/>
        </w:rPr>
        <w:t xml:space="preserve">Iki šiol „DS1 </w:t>
      </w:r>
      <w:proofErr w:type="spellStart"/>
      <w:r>
        <w:rPr>
          <w:rFonts w:ascii="Calibri" w:eastAsia="Calibri" w:hAnsi="Calibri" w:cs="Calibri"/>
          <w:sz w:val="24"/>
          <w:szCs w:val="24"/>
        </w:rPr>
        <w:t>Service</w:t>
      </w:r>
      <w:proofErr w:type="spellEnd"/>
      <w:r>
        <w:rPr>
          <w:rFonts w:ascii="Calibri" w:eastAsia="Calibri" w:hAnsi="Calibri" w:cs="Calibri"/>
          <w:sz w:val="24"/>
          <w:szCs w:val="24"/>
        </w:rPr>
        <w:t>“ daugiausia augo atsinaujinančios energetikos infrastruktūros priežiūros rinkoje. Sutartis su „Litgrid“ žymi įmonės plėtrą į elektros perdavimo tinklo pastočių eksploatavimo segmentą, kuriame taikomi itin aukšti techniniai, operaciniai ir reagavimo reikalavimai.</w:t>
      </w:r>
    </w:p>
    <w:p w14:paraId="1BD8D023" w14:textId="77777777" w:rsidR="00B30096" w:rsidRDefault="00FD7F20">
      <w:pPr>
        <w:spacing w:after="160" w:line="259" w:lineRule="auto"/>
        <w:jc w:val="both"/>
        <w:rPr>
          <w:rFonts w:ascii="Calibri" w:eastAsia="Calibri" w:hAnsi="Calibri" w:cs="Calibri"/>
          <w:sz w:val="24"/>
          <w:szCs w:val="24"/>
        </w:rPr>
      </w:pPr>
      <w:r>
        <w:rPr>
          <w:rFonts w:ascii="Calibri" w:eastAsia="Calibri" w:hAnsi="Calibri" w:cs="Calibri"/>
          <w:sz w:val="24"/>
          <w:szCs w:val="24"/>
        </w:rPr>
        <w:t xml:space="preserve">„Eksploatavimo paslaugų kokybė energetikoje matuojama tokiais rodikliais kaip reakcijos laikas, brigadų pasirengimas, gebėjimas greitai nustatyti gedimo priežastį ir saugiai atlikti darbus. O&amp;M (angl. </w:t>
      </w:r>
      <w:proofErr w:type="spellStart"/>
      <w:r>
        <w:rPr>
          <w:rFonts w:ascii="Calibri" w:eastAsia="Calibri" w:hAnsi="Calibri" w:cs="Calibri"/>
          <w:i/>
          <w:iCs/>
          <w:sz w:val="24"/>
          <w:szCs w:val="24"/>
        </w:rPr>
        <w:t>operation</w:t>
      </w:r>
      <w:proofErr w:type="spellEnd"/>
      <w:r>
        <w:rPr>
          <w:rFonts w:ascii="Calibri" w:eastAsia="Calibri" w:hAnsi="Calibri" w:cs="Calibri"/>
          <w:i/>
          <w:iCs/>
          <w:sz w:val="24"/>
          <w:szCs w:val="24"/>
        </w:rPr>
        <w:t xml:space="preserve"> </w:t>
      </w:r>
      <w:proofErr w:type="spellStart"/>
      <w:r>
        <w:rPr>
          <w:rFonts w:ascii="Calibri" w:eastAsia="Calibri" w:hAnsi="Calibri" w:cs="Calibri"/>
          <w:i/>
          <w:iCs/>
          <w:sz w:val="24"/>
          <w:szCs w:val="24"/>
        </w:rPr>
        <w:t>and</w:t>
      </w:r>
      <w:proofErr w:type="spellEnd"/>
      <w:r>
        <w:rPr>
          <w:rFonts w:ascii="Calibri" w:eastAsia="Calibri" w:hAnsi="Calibri" w:cs="Calibri"/>
          <w:i/>
          <w:iCs/>
          <w:sz w:val="24"/>
          <w:szCs w:val="24"/>
        </w:rPr>
        <w:t xml:space="preserve"> </w:t>
      </w:r>
      <w:proofErr w:type="spellStart"/>
      <w:r>
        <w:rPr>
          <w:rFonts w:ascii="Calibri" w:eastAsia="Calibri" w:hAnsi="Calibri" w:cs="Calibri"/>
          <w:i/>
          <w:iCs/>
          <w:sz w:val="24"/>
          <w:szCs w:val="24"/>
        </w:rPr>
        <w:t>maintenance</w:t>
      </w:r>
      <w:proofErr w:type="spellEnd"/>
      <w:r>
        <w:rPr>
          <w:rFonts w:ascii="Calibri" w:eastAsia="Calibri" w:hAnsi="Calibri" w:cs="Calibri"/>
          <w:sz w:val="24"/>
          <w:szCs w:val="24"/>
        </w:rPr>
        <w:t>) rinka dėl to natūraliai juda specializacijos link. Užsakovams svarbu turėti partnerį, kuris ne tik atlieka planinę priežiūrą, bet ir gali operatyviai prisiimti atsakomybę sudėtingose situacijose“, – sako J. Sinkevičius.</w:t>
      </w:r>
    </w:p>
    <w:p w14:paraId="1BD8D024" w14:textId="77777777" w:rsidR="00B30096" w:rsidRDefault="00FD7F20">
      <w:pPr>
        <w:spacing w:after="160" w:line="259" w:lineRule="auto"/>
        <w:jc w:val="both"/>
        <w:rPr>
          <w:rFonts w:ascii="Calibri" w:eastAsia="Calibri" w:hAnsi="Calibri" w:cs="Calibri"/>
          <w:sz w:val="24"/>
          <w:szCs w:val="24"/>
        </w:rPr>
      </w:pPr>
      <w:r>
        <w:rPr>
          <w:rFonts w:ascii="Calibri" w:eastAsia="Calibri" w:hAnsi="Calibri" w:cs="Calibri"/>
          <w:sz w:val="24"/>
          <w:szCs w:val="24"/>
        </w:rPr>
        <w:t xml:space="preserve">Pagal sutartį „DS1 </w:t>
      </w:r>
      <w:proofErr w:type="spellStart"/>
      <w:r>
        <w:rPr>
          <w:rFonts w:ascii="Calibri" w:eastAsia="Calibri" w:hAnsi="Calibri" w:cs="Calibri"/>
          <w:sz w:val="24"/>
          <w:szCs w:val="24"/>
        </w:rPr>
        <w:t>Service</w:t>
      </w:r>
      <w:proofErr w:type="spellEnd"/>
      <w:r>
        <w:rPr>
          <w:rFonts w:ascii="Calibri" w:eastAsia="Calibri" w:hAnsi="Calibri" w:cs="Calibri"/>
          <w:sz w:val="24"/>
          <w:szCs w:val="24"/>
        </w:rPr>
        <w:t>“ bus atsakinga už techninę priežiūrą, remonto darbus, gedimų šalinimą, avarinį reagavimą, bandymus ir matavimus pagal „Litgrid“ reikalavimus. Avarinio reagavimo laikas priklausys nuo situacijos ir sieks 2–6 valandas. Sutartyje taip pat numatyti privalomi pajėgumai: atskiros brigados pirminiams įrenginiams, relinės apsaugos ir automatikos darbams bei statybiniams darbams.</w:t>
      </w:r>
    </w:p>
    <w:p w14:paraId="1BD8D025" w14:textId="77777777" w:rsidR="00B30096" w:rsidRDefault="00FD7F20">
      <w:pPr>
        <w:spacing w:after="160" w:line="259" w:lineRule="auto"/>
        <w:jc w:val="both"/>
        <w:rPr>
          <w:rFonts w:ascii="Calibri" w:eastAsia="Calibri" w:hAnsi="Calibri" w:cs="Calibri"/>
          <w:b/>
          <w:bCs/>
          <w:sz w:val="24"/>
          <w:szCs w:val="24"/>
        </w:rPr>
      </w:pPr>
      <w:r>
        <w:rPr>
          <w:rFonts w:ascii="Calibri" w:eastAsia="Calibri" w:hAnsi="Calibri" w:cs="Calibri"/>
          <w:b/>
          <w:bCs/>
          <w:sz w:val="24"/>
          <w:szCs w:val="24"/>
        </w:rPr>
        <w:t xml:space="preserve">„DS1 </w:t>
      </w:r>
      <w:proofErr w:type="spellStart"/>
      <w:r>
        <w:rPr>
          <w:rFonts w:ascii="Calibri" w:eastAsia="Calibri" w:hAnsi="Calibri" w:cs="Calibri"/>
          <w:b/>
          <w:bCs/>
          <w:sz w:val="24"/>
          <w:szCs w:val="24"/>
        </w:rPr>
        <w:t>Service</w:t>
      </w:r>
      <w:proofErr w:type="spellEnd"/>
      <w:r>
        <w:rPr>
          <w:rFonts w:ascii="Calibri" w:eastAsia="Calibri" w:hAnsi="Calibri" w:cs="Calibri"/>
          <w:b/>
          <w:bCs/>
          <w:sz w:val="24"/>
          <w:szCs w:val="24"/>
        </w:rPr>
        <w:t>“ prižiūri beveik 1 GW infrastruktūros</w:t>
      </w:r>
    </w:p>
    <w:p w14:paraId="1BD8D026" w14:textId="77777777" w:rsidR="00B30096" w:rsidRDefault="00FD7F20">
      <w:pPr>
        <w:spacing w:after="160" w:line="259" w:lineRule="auto"/>
        <w:jc w:val="both"/>
        <w:rPr>
          <w:rFonts w:ascii="Calibri" w:eastAsia="Calibri" w:hAnsi="Calibri" w:cs="Calibri"/>
          <w:sz w:val="24"/>
          <w:szCs w:val="24"/>
        </w:rPr>
      </w:pPr>
      <w:r>
        <w:rPr>
          <w:rFonts w:ascii="Calibri" w:eastAsia="Calibri" w:hAnsi="Calibri" w:cs="Calibri"/>
          <w:sz w:val="24"/>
          <w:szCs w:val="24"/>
        </w:rPr>
        <w:t xml:space="preserve">„DS1 </w:t>
      </w:r>
      <w:proofErr w:type="spellStart"/>
      <w:r>
        <w:rPr>
          <w:rFonts w:ascii="Calibri" w:eastAsia="Calibri" w:hAnsi="Calibri" w:cs="Calibri"/>
          <w:sz w:val="24"/>
          <w:szCs w:val="24"/>
        </w:rPr>
        <w:t>Service</w:t>
      </w:r>
      <w:proofErr w:type="spellEnd"/>
      <w:r>
        <w:rPr>
          <w:rFonts w:ascii="Calibri" w:eastAsia="Calibri" w:hAnsi="Calibri" w:cs="Calibri"/>
          <w:sz w:val="24"/>
          <w:szCs w:val="24"/>
        </w:rPr>
        <w:t>“ yra energetikos infrastruktūros grupės „DS1“ dalis. Įmonė veiklą pradėjo prieš mažiau nei dvejus metus, tačiau jau prižiūri beveik 1 GW atsinaujinančios energetikos infrastruktūros Lietuvoje.</w:t>
      </w:r>
    </w:p>
    <w:p w14:paraId="1BD8D027" w14:textId="77777777" w:rsidR="00B30096" w:rsidRDefault="00FD7F20">
      <w:pPr>
        <w:spacing w:after="160" w:line="259" w:lineRule="auto"/>
        <w:jc w:val="both"/>
        <w:rPr>
          <w:rFonts w:ascii="Calibri" w:eastAsia="Calibri" w:hAnsi="Calibri" w:cs="Calibri"/>
          <w:sz w:val="24"/>
          <w:szCs w:val="24"/>
        </w:rPr>
      </w:pPr>
      <w:r>
        <w:rPr>
          <w:rFonts w:ascii="Calibri" w:eastAsia="Calibri" w:hAnsi="Calibri" w:cs="Calibri"/>
          <w:sz w:val="24"/>
          <w:szCs w:val="24"/>
        </w:rPr>
        <w:lastRenderedPageBreak/>
        <w:t xml:space="preserve">Įmonės portfelyje – vėjo, saulės ir energijos kaupimo infrastruktūros priežiūra. „DS1 </w:t>
      </w:r>
      <w:proofErr w:type="spellStart"/>
      <w:r>
        <w:rPr>
          <w:rFonts w:ascii="Calibri" w:eastAsia="Calibri" w:hAnsi="Calibri" w:cs="Calibri"/>
          <w:sz w:val="24"/>
          <w:szCs w:val="24"/>
        </w:rPr>
        <w:t>Service</w:t>
      </w:r>
      <w:proofErr w:type="spellEnd"/>
      <w:r>
        <w:rPr>
          <w:rFonts w:ascii="Calibri" w:eastAsia="Calibri" w:hAnsi="Calibri" w:cs="Calibri"/>
          <w:sz w:val="24"/>
          <w:szCs w:val="24"/>
        </w:rPr>
        <w:t>“ dirba su tokiais klientais ir vystytojais kaip „</w:t>
      </w:r>
      <w:proofErr w:type="spellStart"/>
      <w:r>
        <w:rPr>
          <w:rFonts w:ascii="Calibri" w:eastAsia="Calibri" w:hAnsi="Calibri" w:cs="Calibri"/>
          <w:sz w:val="24"/>
          <w:szCs w:val="24"/>
        </w:rPr>
        <w:t>Enefit</w:t>
      </w:r>
      <w:proofErr w:type="spellEnd"/>
      <w:r>
        <w:rPr>
          <w:rFonts w:ascii="Calibri" w:eastAsia="Calibri" w:hAnsi="Calibri" w:cs="Calibri"/>
          <w:sz w:val="24"/>
          <w:szCs w:val="24"/>
        </w:rPr>
        <w:t>“, „</w:t>
      </w:r>
      <w:proofErr w:type="spellStart"/>
      <w:r>
        <w:rPr>
          <w:rFonts w:ascii="Calibri" w:eastAsia="Calibri" w:hAnsi="Calibri" w:cs="Calibri"/>
          <w:sz w:val="24"/>
          <w:szCs w:val="24"/>
        </w:rPr>
        <w:t>Ignitis</w:t>
      </w:r>
      <w:proofErr w:type="spellEnd"/>
      <w:r>
        <w:rPr>
          <w:rFonts w:ascii="Calibri" w:eastAsia="Calibri" w:hAnsi="Calibri" w:cs="Calibri"/>
          <w:sz w:val="24"/>
          <w:szCs w:val="24"/>
        </w:rPr>
        <w:t>“, „</w:t>
      </w:r>
      <w:proofErr w:type="spellStart"/>
      <w:r>
        <w:rPr>
          <w:rFonts w:ascii="Calibri" w:eastAsia="Calibri" w:hAnsi="Calibri" w:cs="Calibri"/>
          <w:sz w:val="24"/>
          <w:szCs w:val="24"/>
        </w:rPr>
        <w:t>Wiso</w:t>
      </w:r>
      <w:proofErr w:type="spellEnd"/>
      <w:r>
        <w:rPr>
          <w:rFonts w:ascii="Calibri" w:eastAsia="Calibri" w:hAnsi="Calibri" w:cs="Calibri"/>
          <w:sz w:val="24"/>
          <w:szCs w:val="24"/>
        </w:rPr>
        <w:t xml:space="preserve"> </w:t>
      </w:r>
      <w:proofErr w:type="spellStart"/>
      <w:r>
        <w:rPr>
          <w:rFonts w:ascii="Calibri" w:eastAsia="Calibri" w:hAnsi="Calibri" w:cs="Calibri"/>
          <w:sz w:val="24"/>
          <w:szCs w:val="24"/>
        </w:rPr>
        <w:t>Engineering</w:t>
      </w:r>
      <w:proofErr w:type="spellEnd"/>
      <w:r>
        <w:rPr>
          <w:rFonts w:ascii="Calibri" w:eastAsia="Calibri" w:hAnsi="Calibri" w:cs="Calibri"/>
          <w:sz w:val="24"/>
          <w:szCs w:val="24"/>
        </w:rPr>
        <w:t>“, taip pat aptarnauja BESS projektus – tai dar naujas energetikos infrastruktūros segmentas Lietuvoje, kurio pirmieji parkai pradėjo veikti tik šiemet. Bendrovė jau turi kelis tokius projektus savo portfelyje ir toliau plečia šią paslaugų kryptį. Įmonė yra viena iš rinkos dalyvių, turinčių energijos kaupimo įrangos gamintojų tarptautinių partnerių statusą, leidžiantį vietoje teikti gamintojo standartus atitinkančią priežiūrą.</w:t>
      </w:r>
    </w:p>
    <w:p w14:paraId="1BD8D028" w14:textId="77777777" w:rsidR="00B30096" w:rsidRDefault="00B30096">
      <w:pPr>
        <w:spacing w:after="160" w:line="259" w:lineRule="auto"/>
        <w:jc w:val="both"/>
        <w:rPr>
          <w:rFonts w:ascii="Calibri" w:eastAsia="Calibri" w:hAnsi="Calibri" w:cs="Calibri"/>
          <w:sz w:val="24"/>
          <w:szCs w:val="24"/>
        </w:rPr>
      </w:pPr>
    </w:p>
    <w:p w14:paraId="1BD8D029" w14:textId="77777777" w:rsidR="00B30096" w:rsidRDefault="00FD7F20">
      <w:pPr>
        <w:spacing w:line="259" w:lineRule="auto"/>
        <w:jc w:val="both"/>
        <w:rPr>
          <w:rFonts w:ascii="Calibri" w:eastAsia="Calibri" w:hAnsi="Calibri" w:cs="Calibri"/>
          <w:b/>
          <w:bCs/>
          <w:sz w:val="24"/>
          <w:szCs w:val="24"/>
        </w:rPr>
      </w:pPr>
      <w:r>
        <w:rPr>
          <w:rFonts w:ascii="Calibri" w:eastAsia="Calibri" w:hAnsi="Calibri" w:cs="Calibri"/>
          <w:b/>
          <w:bCs/>
          <w:sz w:val="24"/>
          <w:szCs w:val="24"/>
        </w:rPr>
        <w:t>Daugiau informacijos</w:t>
      </w:r>
    </w:p>
    <w:p w14:paraId="1BD8D02A" w14:textId="77777777" w:rsidR="00B30096" w:rsidRDefault="00FD7F20">
      <w:pPr>
        <w:spacing w:line="259" w:lineRule="auto"/>
        <w:jc w:val="both"/>
        <w:rPr>
          <w:rFonts w:ascii="Calibri" w:eastAsia="Calibri" w:hAnsi="Calibri" w:cs="Calibri"/>
          <w:sz w:val="24"/>
          <w:szCs w:val="24"/>
        </w:rPr>
      </w:pPr>
      <w:r>
        <w:rPr>
          <w:rFonts w:ascii="Calibri" w:eastAsia="Calibri" w:hAnsi="Calibri" w:cs="Calibri"/>
          <w:sz w:val="24"/>
          <w:szCs w:val="24"/>
        </w:rPr>
        <w:t>Lukas Mikelaitis</w:t>
      </w:r>
    </w:p>
    <w:p w14:paraId="1BD8D02B" w14:textId="77777777" w:rsidR="00B30096" w:rsidRDefault="00FD7F20">
      <w:pPr>
        <w:spacing w:line="259" w:lineRule="auto"/>
        <w:jc w:val="both"/>
        <w:rPr>
          <w:rFonts w:ascii="Calibri" w:eastAsia="Calibri" w:hAnsi="Calibri" w:cs="Calibri"/>
          <w:sz w:val="24"/>
          <w:szCs w:val="24"/>
        </w:rPr>
      </w:pPr>
      <w:proofErr w:type="spellStart"/>
      <w:r>
        <w:rPr>
          <w:rFonts w:ascii="Calibri" w:eastAsia="Calibri" w:hAnsi="Calibri" w:cs="Calibri"/>
          <w:sz w:val="24"/>
          <w:szCs w:val="24"/>
        </w:rPr>
        <w:t>co:agency</w:t>
      </w:r>
      <w:proofErr w:type="spellEnd"/>
    </w:p>
    <w:p w14:paraId="1BD8D02C" w14:textId="77777777" w:rsidR="00B30096" w:rsidRDefault="00FD7F20">
      <w:pPr>
        <w:spacing w:line="259" w:lineRule="auto"/>
        <w:jc w:val="both"/>
        <w:rPr>
          <w:rFonts w:ascii="Calibri" w:eastAsia="Calibri" w:hAnsi="Calibri" w:cs="Calibri"/>
          <w:sz w:val="24"/>
          <w:szCs w:val="24"/>
        </w:rPr>
      </w:pPr>
      <w:r>
        <w:rPr>
          <w:rFonts w:ascii="Calibri" w:eastAsia="Calibri" w:hAnsi="Calibri" w:cs="Calibri"/>
          <w:sz w:val="24"/>
          <w:szCs w:val="24"/>
        </w:rPr>
        <w:t>+37061262326</w:t>
      </w:r>
    </w:p>
    <w:p w14:paraId="1BD8D02D" w14:textId="77777777" w:rsidR="00B30096" w:rsidRDefault="00FD7F20">
      <w:pPr>
        <w:spacing w:line="259" w:lineRule="auto"/>
        <w:jc w:val="both"/>
        <w:rPr>
          <w:rFonts w:ascii="Calibri" w:eastAsia="Calibri" w:hAnsi="Calibri" w:cs="Calibri"/>
          <w:sz w:val="24"/>
          <w:szCs w:val="24"/>
        </w:rPr>
      </w:pPr>
      <w:r>
        <w:rPr>
          <w:rFonts w:ascii="Calibri" w:eastAsia="Calibri" w:hAnsi="Calibri" w:cs="Calibri"/>
          <w:sz w:val="24"/>
          <w:szCs w:val="24"/>
        </w:rPr>
        <w:t>lukas@coagency.lt</w:t>
      </w:r>
    </w:p>
    <w:sectPr w:rsidR="00B30096" w:rsidSect="00D67E74">
      <w:headerReference w:type="default" r:id="rId6"/>
      <w:pgSz w:w="11909" w:h="16834"/>
      <w:pgMar w:top="1440" w:right="971" w:bottom="1440" w:left="1440" w:header="720" w:footer="720" w:gutter="0"/>
      <w:pgNumType w:start="1"/>
      <w:cols w:space="1296"/>
      <w:sectPrChange w:id="0" w:author="Lukas Mikelaitis" w:date="2026-05-13T11:08:00Z" w16du:dateUtc="2026-05-13T08:08:00Z">
        <w:sectPr w:rsidR="00B30096" w:rsidSect="00D67E74">
          <w:pgMar w:top="1440" w:right="1440" w:bottom="1440" w:left="1440" w:header="720" w:footer="720" w:gutter="0"/>
        </w:sectPr>
      </w:sectPrChang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479A3FC" w14:textId="77777777" w:rsidR="005F502F" w:rsidRDefault="005F502F">
      <w:pPr>
        <w:spacing w:line="240" w:lineRule="auto"/>
      </w:pPr>
      <w:r>
        <w:separator/>
      </w:r>
    </w:p>
  </w:endnote>
  <w:endnote w:type="continuationSeparator" w:id="0">
    <w:p w14:paraId="2BD020B8" w14:textId="77777777" w:rsidR="005F502F" w:rsidRDefault="005F502F">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AFF" w:usb1="C0007843" w:usb2="00000009" w:usb3="00000000" w:csb0="000001FF" w:csb1="00000000"/>
    <w:embedRegular r:id="rId1" w:fontKey="{0C6FD90B-D88C-AD47-9386-7C91298271DF}"/>
    <w:embedItalic r:id="rId2" w:fontKey="{DA879998-786B-AA43-B4EC-CB2BA978B168}"/>
  </w:font>
  <w:font w:name="Times New Roman">
    <w:panose1 w:val="02020603050405020304"/>
    <w:charset w:val="00"/>
    <w:family w:val="roman"/>
    <w:pitch w:val="variable"/>
    <w:sig w:usb0="E0002EFF" w:usb1="C000785B" w:usb2="00000009" w:usb3="00000000" w:csb0="000001FF" w:csb1="00000000"/>
    <w:embedRegular r:id="rId3" w:fontKey="{8E3C2AB9-735F-F941-8902-704AFACA41E0}"/>
  </w:font>
  <w:font w:name="Calibri">
    <w:panose1 w:val="020F0502020204030204"/>
    <w:charset w:val="BA"/>
    <w:family w:val="swiss"/>
    <w:pitch w:val="variable"/>
    <w:sig w:usb0="E4002EFF" w:usb1="C200247B" w:usb2="00000009" w:usb3="00000000" w:csb0="000001FF" w:csb1="00000000"/>
    <w:embedRegular r:id="rId4" w:fontKey="{C717179A-E3A8-6641-BD4A-FCB7C8DE5C18}"/>
    <w:embedBold r:id="rId5" w:fontKey="{4642A94D-0B63-5F40-9EE3-CE9DB0983995}"/>
    <w:embedItalic r:id="rId6" w:fontKey="{1FB0288C-B2E9-B64F-ADAC-7366F3A732F4}"/>
  </w:font>
  <w:font w:name="MS Gothic">
    <w:altName w:val="ＭＳ ゴシック"/>
    <w:panose1 w:val="020B0609070205080204"/>
    <w:charset w:val="80"/>
    <w:family w:val="modern"/>
    <w:pitch w:val="fixed"/>
    <w:sig w:usb0="E00002FF" w:usb1="6AC7FDFB" w:usb2="08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2FF" w:usb1="400004FF" w:usb2="00000000" w:usb3="00000000" w:csb0="0000019F" w:csb1="00000000"/>
    <w:embedRegular r:id="rId7" w:fontKey="{3A2FD76A-FE10-8D42-BC2A-6799C5C4FA81}"/>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7079076" w14:textId="77777777" w:rsidR="005F502F" w:rsidRDefault="005F502F">
      <w:pPr>
        <w:spacing w:line="240" w:lineRule="auto"/>
      </w:pPr>
      <w:r>
        <w:separator/>
      </w:r>
    </w:p>
  </w:footnote>
  <w:footnote w:type="continuationSeparator" w:id="0">
    <w:p w14:paraId="5711508A" w14:textId="77777777" w:rsidR="005F502F" w:rsidRDefault="005F502F">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BD8D02E" w14:textId="77777777" w:rsidR="00B30096" w:rsidRDefault="00B30096"/>
</w:hdr>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Lukas Mikelaitis">
    <w15:presenceInfo w15:providerId="AD" w15:userId="S::lukas@coagency.lt::02eb6796-db0a-4bae-938d-75c2bc8f929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embedTrueTypeFonts/>
  <w:proofState w:spelling="clean" w:grammar="clean"/>
  <w:defaultTabStop w:val="720"/>
  <w:hyphenationZone w:val="396"/>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30096"/>
    <w:rsid w:val="000662F5"/>
    <w:rsid w:val="002B6E50"/>
    <w:rsid w:val="002C21E3"/>
    <w:rsid w:val="003C61AD"/>
    <w:rsid w:val="005A148C"/>
    <w:rsid w:val="005F4E95"/>
    <w:rsid w:val="005F502F"/>
    <w:rsid w:val="00617A6E"/>
    <w:rsid w:val="007765EA"/>
    <w:rsid w:val="00807DDC"/>
    <w:rsid w:val="00812154"/>
    <w:rsid w:val="00945168"/>
    <w:rsid w:val="009B3E8E"/>
    <w:rsid w:val="00A960BB"/>
    <w:rsid w:val="00B30096"/>
    <w:rsid w:val="00B7430F"/>
    <w:rsid w:val="00D326B9"/>
    <w:rsid w:val="00D67E74"/>
    <w:rsid w:val="00DB42D5"/>
    <w:rsid w:val="00DF365C"/>
    <w:rsid w:val="00FA7AD7"/>
    <w:rsid w:val="00FC7FAF"/>
    <w:rsid w:val="00FD7F20"/>
    <w:rsid w:val="02475FB4"/>
    <w:rsid w:val="0D83202B"/>
    <w:rsid w:val="355C508C"/>
    <w:rsid w:val="5761CEA8"/>
    <w:rsid w:val="68F69C64"/>
    <w:rsid w:val="69D68444"/>
    <w:rsid w:val="6F2D6B53"/>
  </w:rsids>
  <m:mathPr>
    <m:mathFont m:val="Cambria Math"/>
    <m:brkBin m:val="before"/>
    <m:brkBinSub m:val="--"/>
    <m:smallFrac m:val="0"/>
    <m:dispDef/>
    <m:lMargin m:val="0"/>
    <m:rMargin m:val="0"/>
    <m:defJc m:val="centerGroup"/>
    <m:wrapIndent m:val="1440"/>
    <m:intLim m:val="subSup"/>
    <m:naryLim m:val="undOvr"/>
  </m:mathPr>
  <w:themeFontLang w:val="lt-LT"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BD8D019"/>
  <w15:docId w15:val="{FA36FA47-A9EA-4D4C-B72A-0CB8E29BDC5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lt" w:eastAsia="lt-LT"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00" w:after="120"/>
      <w:outlineLvl w:val="0"/>
    </w:pPr>
    <w:rPr>
      <w:sz w:val="40"/>
      <w:szCs w:val="40"/>
    </w:rPr>
  </w:style>
  <w:style w:type="paragraph" w:styleId="Heading2">
    <w:name w:val="heading 2"/>
    <w:basedOn w:val="Normal"/>
    <w:next w:val="Normal"/>
    <w:uiPriority w:val="9"/>
    <w:semiHidden/>
    <w:unhideWhenUsed/>
    <w:qFormat/>
    <w:pPr>
      <w:keepNext/>
      <w:keepLines/>
      <w:spacing w:before="360" w:after="120"/>
      <w:outlineLvl w:val="1"/>
    </w:pPr>
    <w:rPr>
      <w:sz w:val="32"/>
      <w:szCs w:val="32"/>
    </w:rPr>
  </w:style>
  <w:style w:type="paragraph" w:styleId="Heading3">
    <w:name w:val="heading 3"/>
    <w:basedOn w:val="Normal"/>
    <w:next w:val="Normal"/>
    <w:uiPriority w:val="9"/>
    <w:semiHidden/>
    <w:unhideWhenUsed/>
    <w:qFormat/>
    <w:pPr>
      <w:keepNext/>
      <w:keepLines/>
      <w:spacing w:before="320" w:after="80"/>
      <w:outlineLvl w:val="2"/>
    </w:pPr>
    <w:rPr>
      <w:color w:val="434343"/>
      <w:sz w:val="28"/>
      <w:szCs w:val="28"/>
    </w:rPr>
  </w:style>
  <w:style w:type="paragraph" w:styleId="Heading4">
    <w:name w:val="heading 4"/>
    <w:basedOn w:val="Normal"/>
    <w:next w:val="Normal"/>
    <w:uiPriority w:val="9"/>
    <w:semiHidden/>
    <w:unhideWhenUsed/>
    <w:qFormat/>
    <w:pPr>
      <w:keepNext/>
      <w:keepLines/>
      <w:spacing w:before="280" w:after="80"/>
      <w:outlineLvl w:val="3"/>
    </w:pPr>
    <w:rPr>
      <w:color w:val="666666"/>
      <w:sz w:val="24"/>
      <w:szCs w:val="24"/>
    </w:rPr>
  </w:style>
  <w:style w:type="paragraph" w:styleId="Heading5">
    <w:name w:val="heading 5"/>
    <w:basedOn w:val="Normal"/>
    <w:next w:val="Normal"/>
    <w:uiPriority w:val="9"/>
    <w:semiHidden/>
    <w:unhideWhenUsed/>
    <w:qFormat/>
    <w:pPr>
      <w:keepNext/>
      <w:keepLines/>
      <w:spacing w:before="240" w:after="80"/>
      <w:outlineLvl w:val="4"/>
    </w:pPr>
    <w:rPr>
      <w:color w:val="666666"/>
    </w:rPr>
  </w:style>
  <w:style w:type="paragraph" w:styleId="Heading6">
    <w:name w:val="heading 6"/>
    <w:basedOn w:val="Normal"/>
    <w:next w:val="Normal"/>
    <w:uiPriority w:val="9"/>
    <w:semiHidden/>
    <w:unhideWhenUsed/>
    <w:qFormat/>
    <w:pPr>
      <w:keepNext/>
      <w:keepLines/>
      <w:spacing w:before="240" w:after="80"/>
      <w:outlineLvl w:val="5"/>
    </w:pPr>
    <w:rPr>
      <w:i/>
      <w:iCs/>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after="60"/>
    </w:pPr>
    <w:rPr>
      <w:sz w:val="52"/>
      <w:szCs w:val="52"/>
    </w:rPr>
  </w:style>
  <w:style w:type="paragraph" w:styleId="Subtitle">
    <w:name w:val="Subtitle"/>
    <w:basedOn w:val="Normal"/>
    <w:next w:val="Normal"/>
    <w:uiPriority w:val="11"/>
    <w:qFormat/>
    <w:pPr>
      <w:keepNext/>
      <w:keepLines/>
      <w:spacing w:after="320"/>
    </w:pPr>
    <w:rPr>
      <w:color w:val="666666"/>
      <w:sz w:val="30"/>
      <w:szCs w:val="30"/>
    </w:rPr>
  </w:style>
  <w:style w:type="paragraph" w:styleId="Header">
    <w:name w:val="header"/>
    <w:basedOn w:val="Normal"/>
    <w:link w:val="HeaderChar"/>
    <w:uiPriority w:val="99"/>
    <w:semiHidden/>
    <w:unhideWhenUsed/>
    <w:rsid w:val="00B7430F"/>
    <w:pPr>
      <w:tabs>
        <w:tab w:val="center" w:pos="4513"/>
        <w:tab w:val="right" w:pos="9026"/>
      </w:tabs>
      <w:spacing w:line="240" w:lineRule="auto"/>
    </w:pPr>
  </w:style>
  <w:style w:type="character" w:customStyle="1" w:styleId="HeaderChar">
    <w:name w:val="Header Char"/>
    <w:basedOn w:val="DefaultParagraphFont"/>
    <w:link w:val="Header"/>
    <w:uiPriority w:val="99"/>
    <w:semiHidden/>
    <w:rsid w:val="00B7430F"/>
  </w:style>
  <w:style w:type="paragraph" w:styleId="Footer">
    <w:name w:val="footer"/>
    <w:basedOn w:val="Normal"/>
    <w:link w:val="FooterChar"/>
    <w:uiPriority w:val="99"/>
    <w:semiHidden/>
    <w:unhideWhenUsed/>
    <w:rsid w:val="00B7430F"/>
    <w:pPr>
      <w:tabs>
        <w:tab w:val="center" w:pos="4513"/>
        <w:tab w:val="right" w:pos="9026"/>
      </w:tabs>
      <w:spacing w:line="240" w:lineRule="auto"/>
    </w:pPr>
  </w:style>
  <w:style w:type="character" w:customStyle="1" w:styleId="FooterChar">
    <w:name w:val="Footer Char"/>
    <w:basedOn w:val="DefaultParagraphFont"/>
    <w:link w:val="Footer"/>
    <w:uiPriority w:val="99"/>
    <w:semiHidden/>
    <w:rsid w:val="00B7430F"/>
  </w:style>
  <w:style w:type="paragraph" w:styleId="Revision">
    <w:name w:val="Revision"/>
    <w:hidden/>
    <w:uiPriority w:val="99"/>
    <w:semiHidden/>
    <w:rsid w:val="00617A6E"/>
    <w:pPr>
      <w:spacing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microsoft.com/office/2011/relationships/people" Target="people.xml"/><Relationship Id="rId3" Type="http://schemas.openxmlformats.org/officeDocument/2006/relationships/webSettings" Target="webSettings.xml"/><Relationship Id="rId7" Type="http://schemas.openxmlformats.org/officeDocument/2006/relationships/fontTable" Target="fontTable.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5" Type="http://schemas.openxmlformats.org/officeDocument/2006/relationships/endnotes" Target="endnotes.xml"/><Relationship Id="rId4" Type="http://schemas.openxmlformats.org/officeDocument/2006/relationships/footnotes" Target="footnotes.xml"/><Relationship Id="rId9"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Metadata/LabelInfo.xml><?xml version="1.0" encoding="utf-8"?>
<clbl:labelList xmlns:clbl="http://schemas.microsoft.com/office/2020/mipLabelMetadata">
  <clbl:label id="{434405ce-9876-44cb-8bd1-5c6c207e0b8f}" enabled="1" method="Privileged" siteId="{86bcf768-7bcf-4cd6-b041-b219988b7a9c}" removed="0"/>
</clbl:labelList>
</file>

<file path=docProps/app.xml><?xml version="1.0" encoding="utf-8"?>
<Properties xmlns="http://schemas.openxmlformats.org/officeDocument/2006/extended-properties" xmlns:vt="http://schemas.openxmlformats.org/officeDocument/2006/docPropsVTypes">
  <Template>Normal.dotm</Template>
  <TotalTime>5</TotalTime>
  <Pages>2</Pages>
  <Words>533</Words>
  <Characters>3044</Characters>
  <Application>Microsoft Office Word</Application>
  <DocSecurity>0</DocSecurity>
  <Lines>25</Lines>
  <Paragraphs>7</Paragraphs>
  <ScaleCrop>false</ScaleCrop>
  <Company/>
  <LinksUpToDate>false</LinksUpToDate>
  <CharactersWithSpaces>3570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cp:lastModifiedBy>Lukas Mikelaitis</cp:lastModifiedBy>
  <cp:revision>16</cp:revision>
  <dcterms:created xsi:type="dcterms:W3CDTF">2026-05-11T21:23:00Z</dcterms:created>
  <dcterms:modified xsi:type="dcterms:W3CDTF">2026-05-13T08:08:00Z</dcterms:modified>
</cp:coreProperties>
</file>