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ABB11" w14:textId="77777777" w:rsidR="00950614" w:rsidRDefault="00950614" w:rsidP="00950614">
      <w:pPr>
        <w:spacing w:after="0" w:line="240" w:lineRule="auto"/>
        <w:jc w:val="both"/>
        <w:rPr>
          <w:rFonts w:ascii="Arial" w:eastAsia="Times New Roman" w:hAnsi="Arial" w:cs="Arial"/>
          <w:color w:val="00435B"/>
          <w:kern w:val="0"/>
          <w:sz w:val="16"/>
          <w:szCs w:val="16"/>
          <w:lang w:val="lt-LT" w:eastAsia="en-GB"/>
          <w14:ligatures w14:val="none"/>
        </w:rPr>
      </w:pPr>
    </w:p>
    <w:p w14:paraId="2C670EA5" w14:textId="2F6F41C4" w:rsidR="00950614" w:rsidRPr="00B22B34" w:rsidRDefault="00950614" w:rsidP="00950614">
      <w:pPr>
        <w:spacing w:after="0" w:line="240" w:lineRule="auto"/>
        <w:jc w:val="both"/>
        <w:rPr>
          <w:rFonts w:ascii="Arial" w:eastAsia="Times New Roman" w:hAnsi="Arial" w:cs="Arial"/>
          <w:color w:val="00435B"/>
          <w:kern w:val="0"/>
          <w:sz w:val="16"/>
          <w:szCs w:val="16"/>
          <w:lang w:val="lt-LT" w:eastAsia="en-GB"/>
          <w14:ligatures w14:val="none"/>
        </w:rPr>
      </w:pPr>
      <w:r w:rsidRPr="00B22B34">
        <w:rPr>
          <w:rFonts w:ascii="Arial" w:eastAsia="Times New Roman" w:hAnsi="Arial" w:cs="Arial"/>
          <w:color w:val="00435B"/>
          <w:kern w:val="0"/>
          <w:sz w:val="16"/>
          <w:szCs w:val="16"/>
          <w:lang w:val="lt-LT" w:eastAsia="en-GB"/>
          <w14:ligatures w14:val="none"/>
        </w:rPr>
        <w:t>Pranešimas žiniasklaidai</w:t>
      </w:r>
    </w:p>
    <w:p w14:paraId="08A99C4C" w14:textId="04E4548D" w:rsidR="00950614" w:rsidRDefault="00950614" w:rsidP="00950614">
      <w:pPr>
        <w:spacing w:after="0" w:line="240" w:lineRule="auto"/>
        <w:jc w:val="both"/>
        <w:rPr>
          <w:rFonts w:ascii="Arial" w:eastAsia="Times New Roman" w:hAnsi="Arial" w:cs="Arial"/>
          <w:color w:val="00435B"/>
          <w:kern w:val="0"/>
          <w:sz w:val="16"/>
          <w:szCs w:val="16"/>
          <w:lang w:val="lt-LT" w:eastAsia="en-GB"/>
          <w14:ligatures w14:val="none"/>
        </w:rPr>
      </w:pPr>
      <w:r w:rsidRPr="00B22B34">
        <w:rPr>
          <w:rFonts w:ascii="Arial" w:eastAsia="Times New Roman" w:hAnsi="Arial" w:cs="Arial"/>
          <w:color w:val="00435B"/>
          <w:kern w:val="0"/>
          <w:sz w:val="16"/>
          <w:szCs w:val="16"/>
          <w:lang w:val="lt-LT" w:eastAsia="en-GB"/>
          <w14:ligatures w14:val="none"/>
        </w:rPr>
        <w:t xml:space="preserve">2026 m. </w:t>
      </w:r>
      <w:r w:rsidR="003E5783">
        <w:rPr>
          <w:rFonts w:ascii="Arial" w:eastAsia="Times New Roman" w:hAnsi="Arial" w:cs="Arial"/>
          <w:color w:val="00435B"/>
          <w:kern w:val="0"/>
          <w:sz w:val="16"/>
          <w:szCs w:val="16"/>
          <w:lang w:val="lt-LT" w:eastAsia="en-GB"/>
          <w14:ligatures w14:val="none"/>
        </w:rPr>
        <w:t>gegužės</w:t>
      </w:r>
      <w:r w:rsidRPr="00B22B34">
        <w:rPr>
          <w:rFonts w:ascii="Arial" w:eastAsia="Times New Roman" w:hAnsi="Arial" w:cs="Arial"/>
          <w:color w:val="00435B"/>
          <w:kern w:val="0"/>
          <w:sz w:val="16"/>
          <w:szCs w:val="16"/>
          <w:lang w:val="lt-LT" w:eastAsia="en-GB"/>
          <w14:ligatures w14:val="none"/>
        </w:rPr>
        <w:t xml:space="preserve"> </w:t>
      </w:r>
      <w:r w:rsidR="003E5783">
        <w:rPr>
          <w:rFonts w:ascii="Arial" w:eastAsia="Times New Roman" w:hAnsi="Arial" w:cs="Arial"/>
          <w:color w:val="00435B"/>
          <w:kern w:val="0"/>
          <w:sz w:val="16"/>
          <w:szCs w:val="16"/>
          <w:lang w:val="lt-LT" w:eastAsia="en-GB"/>
          <w14:ligatures w14:val="none"/>
        </w:rPr>
        <w:t>15</w:t>
      </w:r>
      <w:r w:rsidRPr="00B22B34">
        <w:rPr>
          <w:rFonts w:ascii="Arial" w:eastAsia="Times New Roman" w:hAnsi="Arial" w:cs="Arial"/>
          <w:color w:val="00435B"/>
          <w:kern w:val="0"/>
          <w:sz w:val="16"/>
          <w:szCs w:val="16"/>
          <w:lang w:val="lt-LT" w:eastAsia="en-GB"/>
          <w14:ligatures w14:val="none"/>
        </w:rPr>
        <w:t xml:space="preserve"> d.</w:t>
      </w:r>
    </w:p>
    <w:p w14:paraId="6390DC7E" w14:textId="77777777" w:rsidR="00950614" w:rsidRDefault="00950614" w:rsidP="00E23264">
      <w:pPr>
        <w:rPr>
          <w:b/>
          <w:bCs/>
          <w:lang w:val="lt-LT"/>
        </w:rPr>
      </w:pPr>
    </w:p>
    <w:p w14:paraId="0D29FAD6" w14:textId="651C8E51" w:rsidR="003E5783" w:rsidRPr="00B93F53" w:rsidRDefault="003E5783" w:rsidP="003E5783">
      <w:pPr>
        <w:rPr>
          <w:lang w:val="lt-LT"/>
        </w:rPr>
      </w:pPr>
      <w:r w:rsidRPr="003E5783">
        <w:rPr>
          <w:rFonts w:ascii="Arial" w:hAnsi="Arial" w:cs="Arial"/>
          <w:b/>
          <w:bCs/>
          <w:color w:val="00435B"/>
          <w:sz w:val="22"/>
          <w:szCs w:val="22"/>
          <w:lang w:val="lt-LT"/>
        </w:rPr>
        <w:t>Pakruojo rajone iškils biometano jėgainė – ILTE suteikė finansavimą „Green Genius“ projektui</w:t>
      </w:r>
    </w:p>
    <w:p w14:paraId="09D3DA5F" w14:textId="77777777" w:rsidR="003E5783" w:rsidRDefault="003E5783" w:rsidP="003E5783">
      <w:pPr>
        <w:rPr>
          <w:rFonts w:ascii="Arial" w:hAnsi="Arial" w:cs="Arial"/>
          <w:color w:val="00435B"/>
          <w:sz w:val="22"/>
          <w:szCs w:val="22"/>
          <w:lang w:val="lt-LT"/>
        </w:rPr>
      </w:pPr>
    </w:p>
    <w:p w14:paraId="015F4112" w14:textId="7D4637B3" w:rsidR="003E5783" w:rsidRPr="003E5783" w:rsidRDefault="003E5783" w:rsidP="003E5783">
      <w:pPr>
        <w:rPr>
          <w:rFonts w:ascii="Arial" w:hAnsi="Arial" w:cs="Arial"/>
          <w:color w:val="00435B"/>
          <w:sz w:val="22"/>
          <w:szCs w:val="22"/>
          <w:lang w:val="lt-LT"/>
        </w:rPr>
      </w:pPr>
      <w:r w:rsidRPr="003E5783">
        <w:rPr>
          <w:rFonts w:ascii="Arial" w:hAnsi="Arial" w:cs="Arial"/>
          <w:color w:val="00435B"/>
          <w:sz w:val="22"/>
          <w:szCs w:val="22"/>
          <w:lang w:val="lt-LT"/>
        </w:rPr>
        <w:t>Nacionalinis plėtros bankas ILTE ir tarptautinė atsinaujinančios energetikos bendrovė „Green Genius“ pasirašė paskolos sutartį biometano jėgainės vystymui Pakruojo rajone.</w:t>
      </w:r>
    </w:p>
    <w:p w14:paraId="3E4FFCDF" w14:textId="77777777" w:rsidR="003E5783" w:rsidRPr="003E5783" w:rsidRDefault="003E5783" w:rsidP="003E5783">
      <w:pPr>
        <w:rPr>
          <w:rFonts w:ascii="Arial" w:hAnsi="Arial" w:cs="Arial"/>
          <w:color w:val="00435B"/>
          <w:sz w:val="22"/>
          <w:szCs w:val="22"/>
          <w:lang w:val="lt-LT"/>
        </w:rPr>
      </w:pPr>
      <w:r w:rsidRPr="003E5783">
        <w:rPr>
          <w:rFonts w:ascii="Arial" w:hAnsi="Arial" w:cs="Arial"/>
          <w:color w:val="00435B"/>
          <w:sz w:val="22"/>
          <w:szCs w:val="22"/>
          <w:lang w:val="lt-LT"/>
        </w:rPr>
        <w:t>Projekto vertė – daugiau nei 10 mln. eurų, iš kurių 6 mln. eurų sudaro „Milijardas verslui“ paskola. Peleniškių kaime planuojama pastatyti 30 GWh energijos ir iki 3 mln. kubinių metrų biometano gaminsiančią jėgainę.</w:t>
      </w:r>
    </w:p>
    <w:p w14:paraId="1DA4CCBC" w14:textId="77777777" w:rsidR="003E5783" w:rsidRPr="003E5783" w:rsidRDefault="003E5783" w:rsidP="003E5783">
      <w:pPr>
        <w:rPr>
          <w:rFonts w:ascii="Arial" w:hAnsi="Arial" w:cs="Arial"/>
          <w:color w:val="00435B"/>
          <w:sz w:val="22"/>
          <w:szCs w:val="22"/>
          <w:lang w:val="lt-LT"/>
        </w:rPr>
      </w:pPr>
      <w:r w:rsidRPr="003E5783">
        <w:rPr>
          <w:rFonts w:ascii="Arial" w:hAnsi="Arial" w:cs="Arial"/>
          <w:color w:val="00435B"/>
          <w:sz w:val="22"/>
          <w:szCs w:val="22"/>
          <w:lang w:val="lt-LT"/>
        </w:rPr>
        <w:t>„Tokie projektai yra svarbi paskata Lietuvos regionų augimui – jie pritraukia investicijas, kuria darbo vietas ir skatina aukštos pridėtinės vertės ekonomikos plėtrą. Padėdami pažangių technologijų verslams kurtis regionuose tuo pačiu metu pildome planą „3i“, kuriuo siekiame stiprinti inovacijas ir užtikrinti, kad ne mažiau kaip 30 proc. investicijų pasiektų Lietuvos regionus“, – sako ekonomikos ir inovacijų ministras Edvinas Grikšas. </w:t>
      </w:r>
    </w:p>
    <w:p w14:paraId="564EFF71" w14:textId="77777777" w:rsidR="003E5783" w:rsidRPr="003E5783" w:rsidRDefault="003E5783" w:rsidP="003E5783">
      <w:pPr>
        <w:rPr>
          <w:rFonts w:ascii="Arial" w:hAnsi="Arial" w:cs="Arial"/>
          <w:color w:val="00435B"/>
          <w:sz w:val="22"/>
          <w:szCs w:val="22"/>
          <w:lang w:val="lt-LT"/>
        </w:rPr>
      </w:pPr>
      <w:r w:rsidRPr="003E5783">
        <w:rPr>
          <w:rFonts w:ascii="Arial" w:hAnsi="Arial" w:cs="Arial"/>
          <w:color w:val="00435B"/>
          <w:sz w:val="22"/>
          <w:szCs w:val="22"/>
          <w:lang w:val="lt-LT"/>
        </w:rPr>
        <w:t>„Investuodami į naująją jėgainę, mes įdarbiname savo, kaip šios srities lyderių patirtį. Sėkmingai įgyvendinta pirmoji šalyje biometano konversija ir integracija į dujų tinklus tapo technologiniu pamatu, leidžiančiu šiandien kurti realią pridėtinę vertę tiek regiono ekonomikai, tiek šalies energetiniam saugumui. Tai strateginė transformacija: vietines organines atliekas paverčiame  svarbiu energetiniu resursu, kuris tiesiogiai mažina priklausomybę nuo iškastinio kuro importo “, – teigia dr. Darius Biekša, „Green Genius“ Transporto dekarbonizacijos verslo linijos vadovas.</w:t>
      </w:r>
    </w:p>
    <w:p w14:paraId="2FAA8644" w14:textId="77777777" w:rsidR="003E5783" w:rsidRPr="003E5783" w:rsidRDefault="003E5783" w:rsidP="003E5783">
      <w:pPr>
        <w:rPr>
          <w:rFonts w:ascii="Arial" w:hAnsi="Arial" w:cs="Arial"/>
          <w:color w:val="00435B"/>
          <w:sz w:val="22"/>
          <w:szCs w:val="22"/>
          <w:lang w:val="lt-LT"/>
        </w:rPr>
      </w:pPr>
      <w:r w:rsidRPr="003E5783">
        <w:rPr>
          <w:rFonts w:ascii="Arial" w:hAnsi="Arial" w:cs="Arial"/>
          <w:color w:val="00435B"/>
          <w:sz w:val="22"/>
          <w:szCs w:val="22"/>
          <w:lang w:val="lt-LT"/>
        </w:rPr>
        <w:t xml:space="preserve">Biometanas yra atsinaujinančios kilmės dujos, savo savybėmis prilygstančios gamtinėms dujoms, todėl gali būti tiekiamas per esamą dujų infrastruktūrą ir naudojamas šildymui, elektros gamybai ar transporte. Projektu siekiama didinti vietinę energijos gamybą ir mažinti iškastinių dujų importą. </w:t>
      </w:r>
    </w:p>
    <w:p w14:paraId="3BEDADFA" w14:textId="77777777" w:rsidR="003E5783" w:rsidRPr="003E5783" w:rsidRDefault="003E5783" w:rsidP="003E5783">
      <w:pPr>
        <w:rPr>
          <w:rFonts w:ascii="Arial" w:hAnsi="Arial" w:cs="Arial"/>
          <w:color w:val="00435B"/>
          <w:sz w:val="22"/>
          <w:szCs w:val="22"/>
          <w:lang w:val="lt-LT"/>
        </w:rPr>
      </w:pPr>
      <w:r w:rsidRPr="003E5783">
        <w:rPr>
          <w:rFonts w:ascii="Arial" w:hAnsi="Arial" w:cs="Arial"/>
          <w:color w:val="00435B"/>
          <w:sz w:val="22"/>
          <w:szCs w:val="22"/>
          <w:lang w:val="lt-LT"/>
        </w:rPr>
        <w:t>Jėgainėje kasmet planuojama panaudoti virš 100 tūkst. tonų organinių atliekų, daugiausia galvijų mėšlo. Po perdirbimo likusi medžiaga bus naudojama kaip biologinė trąša, mažinant sintetinių trąšų poreikį.</w:t>
      </w:r>
    </w:p>
    <w:p w14:paraId="28383068" w14:textId="62D7F09C" w:rsidR="003E5783" w:rsidRPr="003E5783" w:rsidRDefault="003E5783" w:rsidP="003E5783">
      <w:pPr>
        <w:rPr>
          <w:rFonts w:ascii="Arial" w:hAnsi="Arial" w:cs="Arial"/>
          <w:color w:val="00435B"/>
          <w:sz w:val="22"/>
          <w:szCs w:val="22"/>
          <w:lang w:val="lt-LT"/>
        </w:rPr>
      </w:pPr>
      <w:r w:rsidRPr="003E5783">
        <w:rPr>
          <w:rFonts w:ascii="Arial" w:hAnsi="Arial" w:cs="Arial"/>
          <w:color w:val="00435B"/>
          <w:sz w:val="22"/>
          <w:szCs w:val="22"/>
          <w:lang w:val="lt-LT"/>
        </w:rPr>
        <w:t xml:space="preserve"> „Tai projektas, kuriame susijungia žemės ūkis ir energetika. Vietoje susidarančios atliekos virsta energija. Tokie sprendimai didina regionų energetinį savarankiškumą ir kartu mažina aplinkosauginę naštą“, – sako ILTE</w:t>
      </w:r>
      <w:r w:rsidR="00C94236">
        <w:rPr>
          <w:rFonts w:ascii="Arial" w:hAnsi="Arial" w:cs="Arial"/>
          <w:color w:val="00435B"/>
          <w:sz w:val="22"/>
          <w:szCs w:val="22"/>
          <w:lang w:val="lt-LT"/>
        </w:rPr>
        <w:t xml:space="preserve"> </w:t>
      </w:r>
      <w:r w:rsidR="00C94236" w:rsidRPr="00C94236">
        <w:rPr>
          <w:rFonts w:ascii="Arial" w:hAnsi="Arial" w:cs="Arial"/>
          <w:color w:val="00435B"/>
          <w:sz w:val="22"/>
          <w:szCs w:val="22"/>
          <w:lang w:val="lt-LT"/>
        </w:rPr>
        <w:t>Klientų finansavimo tarnybos vadovė Giedrė Gečiauskienė</w:t>
      </w:r>
      <w:r w:rsidRPr="003E5783">
        <w:rPr>
          <w:rFonts w:ascii="Arial" w:hAnsi="Arial" w:cs="Arial"/>
          <w:color w:val="00435B"/>
          <w:sz w:val="22"/>
          <w:szCs w:val="22"/>
          <w:lang w:val="lt-LT"/>
        </w:rPr>
        <w:t>.</w:t>
      </w:r>
    </w:p>
    <w:p w14:paraId="0EA5BE6E" w14:textId="77777777" w:rsidR="003E5783" w:rsidRPr="003E5783" w:rsidRDefault="003E5783" w:rsidP="003E5783">
      <w:pPr>
        <w:rPr>
          <w:rFonts w:ascii="Arial" w:hAnsi="Arial" w:cs="Arial"/>
          <w:color w:val="00435B"/>
          <w:sz w:val="22"/>
          <w:szCs w:val="22"/>
          <w:lang w:val="lt-LT"/>
        </w:rPr>
      </w:pPr>
      <w:r w:rsidRPr="003E5783">
        <w:rPr>
          <w:rFonts w:ascii="Arial" w:hAnsi="Arial" w:cs="Arial"/>
          <w:color w:val="00435B"/>
          <w:sz w:val="22"/>
          <w:szCs w:val="22"/>
          <w:lang w:val="lt-LT"/>
        </w:rPr>
        <w:t>Biometano gamyba leidžia panaudoti žemės ūkio atliekas, maisto likučius ar nuotekų dumblą, mažina sąvartynuose susidarančio metano emisijas ir sujungia žemės ūkį, atliekų tvarkymą bei energetiką į uždarą išteklių ciklą. Degimo metu į aplinką išskiriamas tik toks CO</w:t>
      </w:r>
      <w:r w:rsidRPr="003E5783">
        <w:rPr>
          <w:rFonts w:ascii="Cambria Math" w:hAnsi="Cambria Math" w:cs="Cambria Math"/>
          <w:color w:val="00435B"/>
          <w:sz w:val="22"/>
          <w:szCs w:val="22"/>
          <w:lang w:val="lt-LT"/>
        </w:rPr>
        <w:t>₂</w:t>
      </w:r>
      <w:r w:rsidRPr="003E5783">
        <w:rPr>
          <w:rFonts w:ascii="Arial" w:hAnsi="Arial" w:cs="Arial"/>
          <w:color w:val="00435B"/>
          <w:sz w:val="22"/>
          <w:szCs w:val="22"/>
          <w:lang w:val="lt-LT"/>
        </w:rPr>
        <w:t xml:space="preserve"> kiekis, kokį augalai buvo sugėrę augdami.</w:t>
      </w:r>
    </w:p>
    <w:p w14:paraId="078741BB" w14:textId="77777777" w:rsidR="003E5783" w:rsidRPr="003E5783" w:rsidRDefault="003E5783" w:rsidP="003E5783">
      <w:pPr>
        <w:rPr>
          <w:rFonts w:ascii="Arial" w:hAnsi="Arial" w:cs="Arial"/>
          <w:color w:val="00435B"/>
          <w:sz w:val="22"/>
          <w:szCs w:val="22"/>
          <w:lang w:val="lt-LT"/>
        </w:rPr>
      </w:pPr>
      <w:r w:rsidRPr="003E5783">
        <w:rPr>
          <w:rFonts w:ascii="Arial" w:hAnsi="Arial" w:cs="Arial"/>
          <w:color w:val="00435B"/>
          <w:sz w:val="22"/>
          <w:szCs w:val="22"/>
          <w:lang w:val="lt-LT"/>
        </w:rPr>
        <w:t>Įgyvendinus projektą šiltnamio efektą sukeliančių dujų emisijos kasmet sumažės beveik 6 tūkst. tonų CO</w:t>
      </w:r>
      <w:r w:rsidRPr="003E5783">
        <w:rPr>
          <w:rFonts w:ascii="Cambria Math" w:hAnsi="Cambria Math" w:cs="Cambria Math"/>
          <w:color w:val="00435B"/>
          <w:sz w:val="22"/>
          <w:szCs w:val="22"/>
          <w:lang w:val="lt-LT"/>
        </w:rPr>
        <w:t>₂</w:t>
      </w:r>
      <w:r w:rsidRPr="003E5783">
        <w:rPr>
          <w:rFonts w:ascii="Arial" w:hAnsi="Arial" w:cs="Arial"/>
          <w:color w:val="00435B"/>
          <w:sz w:val="22"/>
          <w:szCs w:val="22"/>
          <w:lang w:val="lt-LT"/>
        </w:rPr>
        <w:t xml:space="preserve"> ekvivalento.</w:t>
      </w:r>
    </w:p>
    <w:p w14:paraId="6AF14626" w14:textId="77777777" w:rsidR="003E5783" w:rsidRPr="003E5783" w:rsidRDefault="003E5783" w:rsidP="003E5783">
      <w:pPr>
        <w:rPr>
          <w:rFonts w:ascii="Arial" w:hAnsi="Arial" w:cs="Arial"/>
          <w:color w:val="00435B"/>
          <w:sz w:val="22"/>
          <w:szCs w:val="22"/>
          <w:lang w:val="lt-LT"/>
        </w:rPr>
      </w:pPr>
      <w:r w:rsidRPr="003E5783">
        <w:rPr>
          <w:rFonts w:ascii="Arial" w:hAnsi="Arial" w:cs="Arial"/>
          <w:color w:val="00435B"/>
          <w:sz w:val="22"/>
          <w:szCs w:val="22"/>
          <w:lang w:val="lt-LT"/>
        </w:rPr>
        <w:lastRenderedPageBreak/>
        <w:t>„Green Genius“ biodujų projektus vysto daugiau nei dešimtmetį – pirmosios jos jėgainės pradėjo veikti 2013 m., o šiuo metu bendrovė valdo 11 biodujų ir biometano jėgainių.</w:t>
      </w:r>
    </w:p>
    <w:p w14:paraId="12B7DD5A" w14:textId="77777777" w:rsidR="00656320" w:rsidRPr="005632F0" w:rsidRDefault="00656320" w:rsidP="005632F0">
      <w:pPr>
        <w:rPr>
          <w:rFonts w:ascii="Arial" w:hAnsi="Arial" w:cs="Arial"/>
          <w:color w:val="00435B"/>
          <w:sz w:val="22"/>
          <w:szCs w:val="22"/>
          <w:lang w:val="lt-LT"/>
        </w:rPr>
      </w:pPr>
    </w:p>
    <w:p w14:paraId="7CAEF887" w14:textId="77777777" w:rsidR="00950614" w:rsidRDefault="00950614" w:rsidP="00950614">
      <w:pPr>
        <w:spacing w:after="0" w:line="240" w:lineRule="auto"/>
        <w:jc w:val="both"/>
        <w:rPr>
          <w:rFonts w:ascii="Arial" w:eastAsia="Calibri" w:hAnsi="Arial" w:cs="Arial"/>
          <w:color w:val="00435B"/>
          <w:sz w:val="16"/>
          <w:szCs w:val="16"/>
          <w:lang w:val="lt-LT"/>
        </w:rPr>
      </w:pPr>
    </w:p>
    <w:p w14:paraId="1BDDA06C" w14:textId="7F0BA467" w:rsidR="00950614" w:rsidRPr="00E46195" w:rsidRDefault="00950614" w:rsidP="00950614">
      <w:pPr>
        <w:spacing w:after="0" w:line="240" w:lineRule="auto"/>
        <w:jc w:val="both"/>
        <w:rPr>
          <w:rFonts w:ascii="Arial" w:eastAsia="Calibri" w:hAnsi="Arial" w:cs="Arial"/>
          <w:color w:val="00435B"/>
          <w:sz w:val="16"/>
          <w:szCs w:val="16"/>
          <w:lang w:val="lt-LT"/>
        </w:rPr>
      </w:pPr>
      <w:r w:rsidRPr="00E46195">
        <w:rPr>
          <w:rFonts w:ascii="Arial" w:eastAsia="Calibri" w:hAnsi="Arial" w:cs="Arial"/>
          <w:color w:val="00435B"/>
          <w:sz w:val="16"/>
          <w:szCs w:val="16"/>
          <w:lang w:val="lt-LT"/>
        </w:rPr>
        <w:t>Daugiau informacijos:</w:t>
      </w:r>
    </w:p>
    <w:p w14:paraId="206001BD" w14:textId="77777777" w:rsidR="00950614" w:rsidRPr="00E46195" w:rsidRDefault="00950614" w:rsidP="00950614">
      <w:pPr>
        <w:spacing w:after="0" w:line="240" w:lineRule="auto"/>
        <w:jc w:val="both"/>
        <w:rPr>
          <w:rFonts w:ascii="Arial" w:eastAsia="Calibri" w:hAnsi="Arial" w:cs="Arial"/>
          <w:color w:val="00435B"/>
          <w:sz w:val="16"/>
          <w:szCs w:val="16"/>
          <w:lang w:val="lt-LT"/>
        </w:rPr>
      </w:pPr>
    </w:p>
    <w:p w14:paraId="1E2F7379" w14:textId="77777777" w:rsidR="00950614" w:rsidRPr="00E46195" w:rsidRDefault="00950614" w:rsidP="00950614">
      <w:pPr>
        <w:spacing w:after="0" w:line="240" w:lineRule="auto"/>
        <w:jc w:val="both"/>
        <w:rPr>
          <w:rFonts w:ascii="Arial" w:eastAsia="Calibri" w:hAnsi="Arial" w:cs="Arial"/>
          <w:color w:val="00435B"/>
          <w:sz w:val="16"/>
          <w:szCs w:val="16"/>
          <w:lang w:val="lt-LT"/>
        </w:rPr>
      </w:pPr>
      <w:r w:rsidRPr="00E46195">
        <w:rPr>
          <w:rFonts w:ascii="Arial" w:eastAsia="Calibri" w:hAnsi="Arial" w:cs="Arial"/>
          <w:color w:val="00435B"/>
          <w:sz w:val="16"/>
          <w:szCs w:val="16"/>
          <w:lang w:val="lt-LT"/>
        </w:rPr>
        <w:t>Viktorija Voroncova</w:t>
      </w:r>
    </w:p>
    <w:p w14:paraId="1D6DAB32" w14:textId="77777777" w:rsidR="00950614" w:rsidRPr="00E46195" w:rsidRDefault="00950614" w:rsidP="00950614">
      <w:pPr>
        <w:spacing w:after="0" w:line="240" w:lineRule="auto"/>
        <w:jc w:val="both"/>
        <w:rPr>
          <w:rFonts w:ascii="Arial" w:eastAsia="Calibri" w:hAnsi="Arial" w:cs="Arial"/>
          <w:color w:val="00435B"/>
          <w:sz w:val="16"/>
          <w:szCs w:val="16"/>
          <w:lang w:val="lt-LT"/>
        </w:rPr>
      </w:pPr>
      <w:r w:rsidRPr="00E46195">
        <w:rPr>
          <w:rFonts w:ascii="Arial" w:eastAsia="Calibri" w:hAnsi="Arial" w:cs="Arial"/>
          <w:color w:val="00435B"/>
          <w:sz w:val="16"/>
          <w:szCs w:val="16"/>
          <w:lang w:val="lt-LT"/>
        </w:rPr>
        <w:t>Atstovė žiniasklaidai</w:t>
      </w:r>
    </w:p>
    <w:p w14:paraId="134D6686" w14:textId="77777777" w:rsidR="00950614" w:rsidRPr="00E46195" w:rsidRDefault="00950614" w:rsidP="00950614">
      <w:pPr>
        <w:spacing w:after="0" w:line="240" w:lineRule="auto"/>
        <w:jc w:val="both"/>
        <w:rPr>
          <w:rFonts w:ascii="Arial" w:eastAsia="Calibri" w:hAnsi="Arial" w:cs="Arial"/>
          <w:color w:val="00435B"/>
          <w:sz w:val="16"/>
          <w:szCs w:val="16"/>
        </w:rPr>
      </w:pPr>
      <w:r w:rsidRPr="00E46195">
        <w:rPr>
          <w:rFonts w:ascii="Arial" w:eastAsia="Calibri" w:hAnsi="Arial" w:cs="Arial"/>
          <w:color w:val="00435B"/>
          <w:sz w:val="16"/>
          <w:szCs w:val="16"/>
          <w:lang w:val="lt-LT"/>
        </w:rPr>
        <w:t xml:space="preserve">El. p. </w:t>
      </w:r>
      <w:hyperlink r:id="rId6" w:history="1">
        <w:r w:rsidRPr="00E46195">
          <w:rPr>
            <w:rFonts w:ascii="Arial" w:eastAsia="Calibri" w:hAnsi="Arial" w:cs="Arial"/>
            <w:color w:val="0563C1"/>
            <w:sz w:val="16"/>
            <w:szCs w:val="16"/>
            <w:u w:val="single"/>
            <w:lang w:val="lt-LT"/>
          </w:rPr>
          <w:t>media</w:t>
        </w:r>
        <w:r w:rsidRPr="00E46195">
          <w:rPr>
            <w:rFonts w:ascii="Arial" w:eastAsia="Calibri" w:hAnsi="Arial" w:cs="Arial"/>
            <w:color w:val="0563C1"/>
            <w:sz w:val="16"/>
            <w:szCs w:val="16"/>
            <w:u w:val="single"/>
          </w:rPr>
          <w:t>@ilte.lt</w:t>
        </w:r>
      </w:hyperlink>
      <w:r w:rsidRPr="00E46195">
        <w:rPr>
          <w:rFonts w:ascii="Arial" w:eastAsia="Calibri" w:hAnsi="Arial" w:cs="Arial"/>
          <w:color w:val="00435B"/>
          <w:sz w:val="16"/>
          <w:szCs w:val="16"/>
        </w:rPr>
        <w:t xml:space="preserve"> </w:t>
      </w:r>
    </w:p>
    <w:p w14:paraId="1E11338E" w14:textId="69421053" w:rsidR="6622EC6C" w:rsidRDefault="6622EC6C" w:rsidP="7E2F9CE1"/>
    <w:sectPr w:rsidR="6622EC6C">
      <w:headerReference w:type="default" r:id="rId7"/>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B1240" w14:textId="77777777" w:rsidR="00BD782C" w:rsidRDefault="00BD782C" w:rsidP="00950614">
      <w:pPr>
        <w:spacing w:after="0" w:line="240" w:lineRule="auto"/>
      </w:pPr>
      <w:r>
        <w:separator/>
      </w:r>
    </w:p>
  </w:endnote>
  <w:endnote w:type="continuationSeparator" w:id="0">
    <w:p w14:paraId="45B4794B" w14:textId="77777777" w:rsidR="00BD782C" w:rsidRDefault="00BD782C" w:rsidP="00950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E552D" w14:textId="77777777" w:rsidR="00BD782C" w:rsidRDefault="00BD782C" w:rsidP="00950614">
      <w:pPr>
        <w:spacing w:after="0" w:line="240" w:lineRule="auto"/>
      </w:pPr>
      <w:r>
        <w:separator/>
      </w:r>
    </w:p>
  </w:footnote>
  <w:footnote w:type="continuationSeparator" w:id="0">
    <w:p w14:paraId="774F4601" w14:textId="77777777" w:rsidR="00BD782C" w:rsidRDefault="00BD782C" w:rsidP="00950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A44CB" w14:textId="7CD330E3" w:rsidR="00950614" w:rsidRDefault="00950614">
    <w:pPr>
      <w:pStyle w:val="Header"/>
    </w:pPr>
    <w:r>
      <w:rPr>
        <w:rFonts w:ascii="Arial" w:eastAsia="Times New Roman" w:hAnsi="Arial" w:cs="Arial"/>
        <w:noProof/>
        <w:color w:val="0C253B"/>
        <w:kern w:val="0"/>
        <w:sz w:val="18"/>
        <w:szCs w:val="18"/>
        <w:lang w:eastAsia="en-GB"/>
      </w:rPr>
      <w:drawing>
        <wp:anchor distT="0" distB="0" distL="114300" distR="114300" simplePos="0" relativeHeight="251659264" behindDoc="0" locked="0" layoutInCell="1" allowOverlap="1" wp14:anchorId="4D07720B" wp14:editId="31AEFA52">
          <wp:simplePos x="0" y="0"/>
          <wp:positionH relativeFrom="column">
            <wp:posOffset>0</wp:posOffset>
          </wp:positionH>
          <wp:positionV relativeFrom="paragraph">
            <wp:posOffset>-635</wp:posOffset>
          </wp:positionV>
          <wp:extent cx="939800" cy="495300"/>
          <wp:effectExtent l="0" t="0" r="0" b="0"/>
          <wp:wrapNone/>
          <wp:docPr id="932248874" name="Picture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248874" name="Picture 2" descr="A 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39800" cy="495300"/>
                  </a:xfrm>
                  <a:prstGeom prst="rect">
                    <a:avLst/>
                  </a:prstGeom>
                </pic:spPr>
              </pic:pic>
            </a:graphicData>
          </a:graphic>
          <wp14:sizeRelH relativeFrom="page">
            <wp14:pctWidth>0</wp14:pctWidth>
          </wp14:sizeRelH>
          <wp14:sizeRelV relativeFrom="page">
            <wp14:pctHeight>0</wp14:pctHeight>
          </wp14:sizeRelV>
        </wp:anchor>
      </w:drawing>
    </w:r>
  </w:p>
  <w:p w14:paraId="6DE8E046" w14:textId="77777777" w:rsidR="00950614" w:rsidRDefault="009506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264"/>
    <w:rsid w:val="000F243A"/>
    <w:rsid w:val="001F74F0"/>
    <w:rsid w:val="00266D28"/>
    <w:rsid w:val="0029304C"/>
    <w:rsid w:val="003E5783"/>
    <w:rsid w:val="004304B9"/>
    <w:rsid w:val="004D4377"/>
    <w:rsid w:val="005632F0"/>
    <w:rsid w:val="00656320"/>
    <w:rsid w:val="00696EF3"/>
    <w:rsid w:val="007C6605"/>
    <w:rsid w:val="00810CBE"/>
    <w:rsid w:val="008B7FDC"/>
    <w:rsid w:val="008E13CA"/>
    <w:rsid w:val="00950614"/>
    <w:rsid w:val="009B0FAF"/>
    <w:rsid w:val="00A16692"/>
    <w:rsid w:val="00A51DBD"/>
    <w:rsid w:val="00A87BC2"/>
    <w:rsid w:val="00B77F05"/>
    <w:rsid w:val="00BD782C"/>
    <w:rsid w:val="00C0509B"/>
    <w:rsid w:val="00C94236"/>
    <w:rsid w:val="00DA7B61"/>
    <w:rsid w:val="00DE32BB"/>
    <w:rsid w:val="00DE6377"/>
    <w:rsid w:val="00E23264"/>
    <w:rsid w:val="00E26F22"/>
    <w:rsid w:val="00E81B38"/>
    <w:rsid w:val="00FD154A"/>
    <w:rsid w:val="022936BD"/>
    <w:rsid w:val="0A9195D6"/>
    <w:rsid w:val="15735338"/>
    <w:rsid w:val="1597C1E2"/>
    <w:rsid w:val="179195CF"/>
    <w:rsid w:val="1ECC54E6"/>
    <w:rsid w:val="1ECFEA89"/>
    <w:rsid w:val="21E1B9BC"/>
    <w:rsid w:val="2C78C813"/>
    <w:rsid w:val="2C94A049"/>
    <w:rsid w:val="2E01467C"/>
    <w:rsid w:val="33E93BB9"/>
    <w:rsid w:val="33FF336D"/>
    <w:rsid w:val="3E465014"/>
    <w:rsid w:val="3FFBC5B8"/>
    <w:rsid w:val="431CF913"/>
    <w:rsid w:val="47BAEF8B"/>
    <w:rsid w:val="4DFFFC03"/>
    <w:rsid w:val="50109FFA"/>
    <w:rsid w:val="51D0DA8E"/>
    <w:rsid w:val="52F60195"/>
    <w:rsid w:val="570014E5"/>
    <w:rsid w:val="57DC9C00"/>
    <w:rsid w:val="58027AC4"/>
    <w:rsid w:val="5F917CE2"/>
    <w:rsid w:val="5FB7DF13"/>
    <w:rsid w:val="60CF59A7"/>
    <w:rsid w:val="630D8518"/>
    <w:rsid w:val="641055D4"/>
    <w:rsid w:val="6622EC6C"/>
    <w:rsid w:val="6690B0A5"/>
    <w:rsid w:val="6E8AB4F4"/>
    <w:rsid w:val="7134CA76"/>
    <w:rsid w:val="79B485F9"/>
    <w:rsid w:val="7E2F9CE1"/>
    <w:rsid w:val="7F9B0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A87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32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32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32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32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32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32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32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32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32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2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32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32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32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32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32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32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32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3264"/>
    <w:rPr>
      <w:rFonts w:eastAsiaTheme="majorEastAsia" w:cstheme="majorBidi"/>
      <w:color w:val="272727" w:themeColor="text1" w:themeTint="D8"/>
    </w:rPr>
  </w:style>
  <w:style w:type="paragraph" w:styleId="Title">
    <w:name w:val="Title"/>
    <w:basedOn w:val="Normal"/>
    <w:next w:val="Normal"/>
    <w:link w:val="TitleChar"/>
    <w:uiPriority w:val="10"/>
    <w:qFormat/>
    <w:rsid w:val="00E232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32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32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32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3264"/>
    <w:pPr>
      <w:spacing w:before="160"/>
      <w:jc w:val="center"/>
    </w:pPr>
    <w:rPr>
      <w:i/>
      <w:iCs/>
      <w:color w:val="404040" w:themeColor="text1" w:themeTint="BF"/>
    </w:rPr>
  </w:style>
  <w:style w:type="character" w:customStyle="1" w:styleId="QuoteChar">
    <w:name w:val="Quote Char"/>
    <w:basedOn w:val="DefaultParagraphFont"/>
    <w:link w:val="Quote"/>
    <w:uiPriority w:val="29"/>
    <w:rsid w:val="00E23264"/>
    <w:rPr>
      <w:i/>
      <w:iCs/>
      <w:color w:val="404040" w:themeColor="text1" w:themeTint="BF"/>
    </w:rPr>
  </w:style>
  <w:style w:type="paragraph" w:styleId="ListParagraph">
    <w:name w:val="List Paragraph"/>
    <w:basedOn w:val="Normal"/>
    <w:uiPriority w:val="34"/>
    <w:qFormat/>
    <w:rsid w:val="00E23264"/>
    <w:pPr>
      <w:ind w:left="720"/>
      <w:contextualSpacing/>
    </w:pPr>
  </w:style>
  <w:style w:type="character" w:styleId="IntenseEmphasis">
    <w:name w:val="Intense Emphasis"/>
    <w:basedOn w:val="DefaultParagraphFont"/>
    <w:uiPriority w:val="21"/>
    <w:qFormat/>
    <w:rsid w:val="00E23264"/>
    <w:rPr>
      <w:i/>
      <w:iCs/>
      <w:color w:val="0F4761" w:themeColor="accent1" w:themeShade="BF"/>
    </w:rPr>
  </w:style>
  <w:style w:type="paragraph" w:styleId="IntenseQuote">
    <w:name w:val="Intense Quote"/>
    <w:basedOn w:val="Normal"/>
    <w:next w:val="Normal"/>
    <w:link w:val="IntenseQuoteChar"/>
    <w:uiPriority w:val="30"/>
    <w:qFormat/>
    <w:rsid w:val="00E232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3264"/>
    <w:rPr>
      <w:i/>
      <w:iCs/>
      <w:color w:val="0F4761" w:themeColor="accent1" w:themeShade="BF"/>
    </w:rPr>
  </w:style>
  <w:style w:type="character" w:styleId="IntenseReference">
    <w:name w:val="Intense Reference"/>
    <w:basedOn w:val="DefaultParagraphFont"/>
    <w:uiPriority w:val="32"/>
    <w:qFormat/>
    <w:rsid w:val="00E23264"/>
    <w:rPr>
      <w:b/>
      <w:bCs/>
      <w:smallCaps/>
      <w:color w:val="0F4761" w:themeColor="accent1" w:themeShade="BF"/>
      <w:spacing w:val="5"/>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E26F22"/>
    <w:pPr>
      <w:spacing w:after="0" w:line="240" w:lineRule="auto"/>
    </w:pPr>
  </w:style>
  <w:style w:type="paragraph" w:styleId="Header">
    <w:name w:val="header"/>
    <w:basedOn w:val="Normal"/>
    <w:link w:val="HeaderChar"/>
    <w:uiPriority w:val="99"/>
    <w:unhideWhenUsed/>
    <w:rsid w:val="00950614"/>
    <w:pPr>
      <w:tabs>
        <w:tab w:val="center" w:pos="4986"/>
        <w:tab w:val="right" w:pos="9972"/>
      </w:tabs>
      <w:spacing w:after="0" w:line="240" w:lineRule="auto"/>
    </w:pPr>
  </w:style>
  <w:style w:type="character" w:customStyle="1" w:styleId="HeaderChar">
    <w:name w:val="Header Char"/>
    <w:basedOn w:val="DefaultParagraphFont"/>
    <w:link w:val="Header"/>
    <w:uiPriority w:val="99"/>
    <w:rsid w:val="00950614"/>
  </w:style>
  <w:style w:type="paragraph" w:styleId="Footer">
    <w:name w:val="footer"/>
    <w:basedOn w:val="Normal"/>
    <w:link w:val="FooterChar"/>
    <w:uiPriority w:val="99"/>
    <w:unhideWhenUsed/>
    <w:rsid w:val="00950614"/>
    <w:pPr>
      <w:tabs>
        <w:tab w:val="center" w:pos="4986"/>
        <w:tab w:val="right" w:pos="9972"/>
      </w:tabs>
      <w:spacing w:after="0" w:line="240" w:lineRule="auto"/>
    </w:pPr>
  </w:style>
  <w:style w:type="character" w:customStyle="1" w:styleId="FooterChar">
    <w:name w:val="Footer Char"/>
    <w:basedOn w:val="DefaultParagraphFont"/>
    <w:link w:val="Footer"/>
    <w:uiPriority w:val="99"/>
    <w:rsid w:val="009506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edia@ilte.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2594</Characters>
  <Application>Microsoft Office Word</Application>
  <DocSecurity>0</DocSecurity>
  <Lines>21</Lines>
  <Paragraphs>6</Paragraphs>
  <ScaleCrop>false</ScaleCrop>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2026-05-15T06:14:00Z</dcterms:created>
  <dcterms:modified xsi:type="dcterms:W3CDTF">2026-05-15T06:25:00Z</dcterms:modified>
</cp:coreProperties>
</file>