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6896C08" w14:textId="2C3B598B" w:rsidR="00475CF9" w:rsidRDefault="00000000">
      <w:pPr>
        <w:jc w:val="right"/>
        <w:rPr>
          <w:rFonts w:ascii="Times New Roman" w:eastAsia="Times New Roman" w:hAnsi="Times New Roman" w:cs="Times New Roman"/>
          <w:b/>
          <w:bCs/>
        </w:rPr>
      </w:pPr>
      <w:r>
        <w:rPr>
          <w:rFonts w:ascii="Times New Roman" w:eastAsia="Times New Roman" w:hAnsi="Times New Roman" w:cs="Times New Roman"/>
          <w:b/>
          <w:bCs/>
        </w:rPr>
        <w:t xml:space="preserve"> 2026 05 </w:t>
      </w:r>
      <w:r w:rsidR="004E4B1D">
        <w:rPr>
          <w:rFonts w:ascii="Times New Roman" w:eastAsia="Times New Roman" w:hAnsi="Times New Roman" w:cs="Times New Roman"/>
          <w:b/>
          <w:bCs/>
        </w:rPr>
        <w:t>19</w:t>
      </w:r>
    </w:p>
    <w:p w14:paraId="23D8093B" w14:textId="77777777" w:rsidR="00475CF9" w:rsidRPr="004E4B1D" w:rsidRDefault="00475CF9" w:rsidP="004E4B1D">
      <w:pPr>
        <w:rPr>
          <w:rFonts w:ascii="Times New Roman" w:hAnsi="Times New Roman" w:cs="Times New Roman"/>
          <w:b/>
          <w:bCs/>
          <w:sz w:val="28"/>
          <w:szCs w:val="28"/>
        </w:rPr>
      </w:pPr>
    </w:p>
    <w:p w14:paraId="31E6E304" w14:textId="77777777" w:rsidR="00475CF9" w:rsidRPr="004E4B1D" w:rsidRDefault="00000000">
      <w:pPr>
        <w:jc w:val="center"/>
        <w:rPr>
          <w:rFonts w:ascii="Times New Roman" w:hAnsi="Times New Roman" w:cs="Times New Roman"/>
          <w:b/>
          <w:bCs/>
          <w:sz w:val="28"/>
          <w:szCs w:val="28"/>
        </w:rPr>
      </w:pPr>
      <w:r w:rsidRPr="004E4B1D">
        <w:rPr>
          <w:rFonts w:ascii="Times New Roman" w:hAnsi="Times New Roman" w:cs="Times New Roman"/>
          <w:b/>
          <w:bCs/>
          <w:sz w:val="28"/>
          <w:szCs w:val="28"/>
        </w:rPr>
        <w:t>P. Masiulis įvardijo dėl ko stringa naujų įmonių augimas</w:t>
      </w:r>
    </w:p>
    <w:p w14:paraId="019FEE58" w14:textId="77777777" w:rsidR="00475CF9" w:rsidRDefault="00475CF9">
      <w:pPr>
        <w:jc w:val="both"/>
        <w:rPr>
          <w:rFonts w:ascii="Times New Roman" w:eastAsia="Times New Roman" w:hAnsi="Times New Roman" w:cs="Times New Roman"/>
          <w:b/>
          <w:bCs/>
          <w:sz w:val="22"/>
          <w:szCs w:val="22"/>
        </w:rPr>
      </w:pPr>
    </w:p>
    <w:p w14:paraId="342C36DC" w14:textId="006C2CD6" w:rsidR="00475CF9" w:rsidRDefault="00000000">
      <w:pPr>
        <w:jc w:val="both"/>
        <w:rPr>
          <w:rFonts w:ascii="Times New Roman" w:eastAsia="Times New Roman" w:hAnsi="Times New Roman" w:cs="Times New Roman"/>
          <w:b/>
          <w:bCs/>
          <w:sz w:val="22"/>
          <w:szCs w:val="22"/>
        </w:rPr>
      </w:pPr>
      <w:r>
        <w:rPr>
          <w:rFonts w:ascii="Times New Roman" w:eastAsia="Times New Roman" w:hAnsi="Times New Roman" w:cs="Times New Roman"/>
          <w:b/>
          <w:bCs/>
          <w:sz w:val="22"/>
          <w:szCs w:val="22"/>
        </w:rPr>
        <w:t>Pardavimai vyksta, bet įmonės augimas buksuoja? Pasak „Tele2“ viceprezidento ir generalinio direktoriaus Baltijos šalims Petro Masiulio, nauji verslai susiduria su labai panašiais  iššūkiais, kurie juos gali stabdyti. Jis įsitikinęs, kad vienomis didžiausių kliūčių tampa nepakankamai aiškūs pajamų šaltiniai ar  susitelkimas tik į vieną veiklos sritį</w:t>
      </w:r>
      <w:r w:rsidR="004E4B1D">
        <w:rPr>
          <w:rFonts w:ascii="Times New Roman" w:eastAsia="Times New Roman" w:hAnsi="Times New Roman" w:cs="Times New Roman"/>
          <w:b/>
          <w:bCs/>
          <w:sz w:val="22"/>
          <w:szCs w:val="22"/>
        </w:rPr>
        <w:t>.</w:t>
      </w:r>
    </w:p>
    <w:p w14:paraId="25A80B85" w14:textId="77777777" w:rsidR="004E4B1D" w:rsidRPr="004E4B1D" w:rsidRDefault="004E4B1D">
      <w:pPr>
        <w:jc w:val="both"/>
        <w:rPr>
          <w:rFonts w:ascii="Times New Roman" w:eastAsia="Times New Roman" w:hAnsi="Times New Roman" w:cs="Times New Roman"/>
          <w:b/>
          <w:bCs/>
          <w:sz w:val="22"/>
          <w:szCs w:val="22"/>
        </w:rPr>
      </w:pPr>
    </w:p>
    <w:p w14:paraId="1F415DA1" w14:textId="77777777" w:rsidR="00475CF9" w:rsidRDefault="00000000">
      <w:pPr>
        <w:jc w:val="both"/>
        <w:rPr>
          <w:rFonts w:ascii="Times New Roman" w:eastAsia="Times New Roman" w:hAnsi="Times New Roman" w:cs="Times New Roman"/>
          <w:b/>
          <w:bCs/>
          <w:sz w:val="22"/>
          <w:szCs w:val="22"/>
        </w:rPr>
      </w:pPr>
      <w:r>
        <w:rPr>
          <w:rFonts w:ascii="Times New Roman" w:eastAsia="Times New Roman" w:hAnsi="Times New Roman" w:cs="Times New Roman"/>
          <w:b/>
          <w:bCs/>
          <w:sz w:val="22"/>
          <w:szCs w:val="22"/>
        </w:rPr>
        <w:t xml:space="preserve">Prioritetas – aiškūs pajamų šaltiniai </w:t>
      </w:r>
    </w:p>
    <w:p w14:paraId="29B1BCCF" w14:textId="77777777" w:rsidR="00475CF9" w:rsidRDefault="00475CF9">
      <w:pPr>
        <w:jc w:val="both"/>
        <w:rPr>
          <w:rFonts w:ascii="Times New Roman" w:eastAsia="Times New Roman" w:hAnsi="Times New Roman" w:cs="Times New Roman"/>
          <w:sz w:val="22"/>
          <w:szCs w:val="22"/>
        </w:rPr>
      </w:pPr>
    </w:p>
    <w:p w14:paraId="22A52A71" w14:textId="77777777" w:rsidR="00475CF9"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Viena pagrindinių klaidų, anot vadovo, su kuriomis susiduria augantys verslai, – nepakankamai aiškus supratimas, iš kur iš tikrųjų ateina pajamos ir kurios veiklos sritys kuria didžiausią vertę. Net ir matydami augančius pardavimus, verslininkai dažnai neturi aiškaus vaizdo, kas realiai generuoja didžiausią finansinį rezultatą.</w:t>
      </w:r>
    </w:p>
    <w:p w14:paraId="3559F157" w14:textId="77777777" w:rsidR="00475CF9" w:rsidRDefault="00475CF9">
      <w:pPr>
        <w:jc w:val="both"/>
        <w:rPr>
          <w:rFonts w:ascii="Times New Roman" w:eastAsia="Times New Roman" w:hAnsi="Times New Roman" w:cs="Times New Roman"/>
          <w:sz w:val="22"/>
          <w:szCs w:val="22"/>
        </w:rPr>
      </w:pPr>
    </w:p>
    <w:p w14:paraId="568C6A99" w14:textId="77777777" w:rsidR="00475CF9"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„Vadovai turėtų susirašyti visas sritis, iš kurių gauna pajamas, ir įsivertinti, kokių dar yra galimybių . Tada reikia įsivardinti, kurie šaltiniai yra pelningiausi . Tačiau svarbu ne tik pelningumo procentas – reikia žiūrėti, kiek konkreti veikla atneša pinigų“, – tvirtina P. Masiulis.</w:t>
      </w:r>
    </w:p>
    <w:p w14:paraId="63E2612C" w14:textId="77777777" w:rsidR="00475CF9" w:rsidRDefault="00475CF9">
      <w:pPr>
        <w:jc w:val="both"/>
        <w:rPr>
          <w:rFonts w:ascii="Times New Roman" w:eastAsia="Times New Roman" w:hAnsi="Times New Roman" w:cs="Times New Roman"/>
          <w:sz w:val="22"/>
          <w:szCs w:val="22"/>
        </w:rPr>
      </w:pPr>
    </w:p>
    <w:p w14:paraId="7EB6BCE8" w14:textId="77777777" w:rsidR="00475CF9"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Pasak jo, būtent toks sisteminis požiūris leidžia įmonėms ne tik geriau suprasti savo dabartinę situaciją, bet ir identifikuoti augimo kryptis. Aiškiai įsivertinus pajamų šaltinius, lengviau nuspręsti, kur verta investuoti daugiau dėmesio, o kurios veiklos sritys nesukuria pakankamos vertės.</w:t>
      </w:r>
    </w:p>
    <w:p w14:paraId="437A0E03" w14:textId="77777777" w:rsidR="00475CF9" w:rsidRDefault="00475CF9">
      <w:pPr>
        <w:jc w:val="both"/>
        <w:rPr>
          <w:rFonts w:ascii="Times New Roman" w:eastAsia="Times New Roman" w:hAnsi="Times New Roman" w:cs="Times New Roman"/>
          <w:sz w:val="22"/>
          <w:szCs w:val="22"/>
        </w:rPr>
      </w:pPr>
    </w:p>
    <w:p w14:paraId="3C785B23" w14:textId="77777777" w:rsidR="00475CF9" w:rsidRDefault="00000000">
      <w:pPr>
        <w:jc w:val="both"/>
        <w:rPr>
          <w:rFonts w:ascii="Times New Roman" w:eastAsia="Times New Roman" w:hAnsi="Times New Roman" w:cs="Times New Roman"/>
          <w:b/>
          <w:bCs/>
          <w:sz w:val="22"/>
          <w:szCs w:val="22"/>
        </w:rPr>
      </w:pPr>
      <w:r>
        <w:rPr>
          <w:rFonts w:ascii="Times New Roman" w:eastAsia="Times New Roman" w:hAnsi="Times New Roman" w:cs="Times New Roman"/>
          <w:b/>
          <w:bCs/>
          <w:sz w:val="22"/>
          <w:szCs w:val="22"/>
        </w:rPr>
        <w:t>Pelningumas ne visada parodo tikrąjį vaizdą</w:t>
      </w:r>
    </w:p>
    <w:p w14:paraId="704D2394" w14:textId="77777777" w:rsidR="00475CF9" w:rsidRDefault="00475CF9">
      <w:pPr>
        <w:jc w:val="both"/>
        <w:rPr>
          <w:rFonts w:ascii="Times New Roman" w:eastAsia="Times New Roman" w:hAnsi="Times New Roman" w:cs="Times New Roman"/>
          <w:b/>
          <w:bCs/>
          <w:sz w:val="22"/>
          <w:szCs w:val="22"/>
        </w:rPr>
      </w:pPr>
    </w:p>
    <w:p w14:paraId="5A5AEB1C" w14:textId="3ACEA2F7" w:rsidR="00475CF9"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Net ir aiškiai identifikavus pajamų šaltinius, verslai dažnai susiduria su kitu galvosūkiu– kaip teisingai juos vertinti. Praktikoje sprendimai neretai priimami remiantis pelningumo procentais, tačiau tai, anot „Tele2” direktoriaus,</w:t>
      </w:r>
      <w:r w:rsidR="004E4B1D">
        <w:rPr>
          <w:rFonts w:ascii="Times New Roman" w:eastAsia="Times New Roman" w:hAnsi="Times New Roman" w:cs="Times New Roman"/>
          <w:sz w:val="22"/>
          <w:szCs w:val="22"/>
        </w:rPr>
        <w:t xml:space="preserve"> </w:t>
      </w:r>
      <w:r>
        <w:rPr>
          <w:rFonts w:ascii="Times New Roman" w:eastAsia="Times New Roman" w:hAnsi="Times New Roman" w:cs="Times New Roman"/>
          <w:sz w:val="22"/>
          <w:szCs w:val="22"/>
        </w:rPr>
        <w:t>ne visada atspindi tikrąjį veiklos rezultatą.</w:t>
      </w:r>
    </w:p>
    <w:p w14:paraId="6CFA853C" w14:textId="77777777" w:rsidR="00475CF9" w:rsidRDefault="00475CF9">
      <w:pPr>
        <w:jc w:val="both"/>
        <w:rPr>
          <w:rFonts w:ascii="Times New Roman" w:eastAsia="Times New Roman" w:hAnsi="Times New Roman" w:cs="Times New Roman"/>
          <w:sz w:val="22"/>
          <w:szCs w:val="22"/>
        </w:rPr>
      </w:pPr>
    </w:p>
    <w:p w14:paraId="61D6367F" w14:textId="77777777" w:rsidR="00475CF9"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„Gali būti, kad vienas produktas yra labai pelningas procentais, o kitas – mažiau. Tačiau svarbiausia yra tai, kiek tas produktas atneša pinigų. Jeigu mažesnės maržos produktas sukuria didesnę dalį pajamų, gali būti, kad būtent į jį reikia koncentruotis“, – aiškina P. Masiulis.</w:t>
      </w:r>
    </w:p>
    <w:p w14:paraId="71F58EF5" w14:textId="77777777" w:rsidR="00475CF9" w:rsidRDefault="00475CF9">
      <w:pPr>
        <w:jc w:val="both"/>
        <w:rPr>
          <w:rFonts w:ascii="Times New Roman" w:eastAsia="Times New Roman" w:hAnsi="Times New Roman" w:cs="Times New Roman"/>
          <w:sz w:val="22"/>
          <w:szCs w:val="22"/>
        </w:rPr>
      </w:pPr>
    </w:p>
    <w:p w14:paraId="747A51A0" w14:textId="77777777" w:rsidR="00475CF9" w:rsidRDefault="00000000">
      <w:pPr>
        <w:jc w:val="both"/>
        <w:rPr>
          <w:rFonts w:ascii="Times New Roman" w:eastAsia="Times New Roman" w:hAnsi="Times New Roman" w:cs="Times New Roman"/>
          <w:b/>
          <w:bCs/>
          <w:sz w:val="22"/>
          <w:szCs w:val="22"/>
        </w:rPr>
      </w:pPr>
      <w:r>
        <w:rPr>
          <w:rFonts w:ascii="Times New Roman" w:eastAsia="Times New Roman" w:hAnsi="Times New Roman" w:cs="Times New Roman"/>
          <w:sz w:val="22"/>
          <w:szCs w:val="22"/>
        </w:rPr>
        <w:t>Pasak jo, būtent šiame etape dažnai padaromos esminės klaidos – įmonės renkasi „gražesnius“ rodiklius vietoje realaus finansinio poveikio. Todėl, vertinant veiklą, svarbu neapsiriboti vien santykiniais skaičiais, o įvertinti, kuri veikla faktiškai sukuria didžiausią naudą verslui</w:t>
      </w:r>
      <w:r>
        <w:rPr>
          <w:rFonts w:ascii="Times New Roman" w:eastAsia="Times New Roman" w:hAnsi="Times New Roman" w:cs="Times New Roman"/>
          <w:b/>
          <w:bCs/>
          <w:sz w:val="22"/>
          <w:szCs w:val="22"/>
        </w:rPr>
        <w:t>.</w:t>
      </w:r>
    </w:p>
    <w:p w14:paraId="139A5473" w14:textId="77777777" w:rsidR="00475CF9" w:rsidRDefault="00475CF9">
      <w:pPr>
        <w:jc w:val="both"/>
        <w:rPr>
          <w:rFonts w:ascii="Times New Roman" w:eastAsia="Times New Roman" w:hAnsi="Times New Roman" w:cs="Times New Roman"/>
          <w:sz w:val="22"/>
          <w:szCs w:val="22"/>
        </w:rPr>
      </w:pPr>
    </w:p>
    <w:p w14:paraId="22A673DB" w14:textId="77777777" w:rsidR="00475CF9" w:rsidRDefault="00000000">
      <w:pPr>
        <w:jc w:val="both"/>
        <w:rPr>
          <w:rFonts w:ascii="Times New Roman" w:eastAsia="Times New Roman" w:hAnsi="Times New Roman" w:cs="Times New Roman"/>
          <w:b/>
          <w:bCs/>
          <w:sz w:val="22"/>
          <w:szCs w:val="22"/>
        </w:rPr>
      </w:pPr>
      <w:r>
        <w:rPr>
          <w:rFonts w:ascii="Times New Roman" w:eastAsia="Times New Roman" w:hAnsi="Times New Roman" w:cs="Times New Roman"/>
          <w:b/>
          <w:bCs/>
          <w:sz w:val="22"/>
          <w:szCs w:val="22"/>
        </w:rPr>
        <w:t>Verslo sėkmė – kelių veiksnių derinys</w:t>
      </w:r>
    </w:p>
    <w:p w14:paraId="66B75540" w14:textId="77777777" w:rsidR="00475CF9" w:rsidRDefault="00475CF9">
      <w:pPr>
        <w:jc w:val="both"/>
        <w:rPr>
          <w:rFonts w:ascii="Times New Roman" w:eastAsia="Times New Roman" w:hAnsi="Times New Roman" w:cs="Times New Roman"/>
          <w:b/>
          <w:bCs/>
          <w:sz w:val="22"/>
          <w:szCs w:val="22"/>
        </w:rPr>
      </w:pPr>
    </w:p>
    <w:p w14:paraId="224E5709" w14:textId="244EB9AB" w:rsidR="00475CF9"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Įvertinus pajamų šaltinius ir jų realų indėlį, dar viena svarbi tema – kaštų valdymas. Anot P.</w:t>
      </w:r>
      <w:r w:rsidR="004E4B1D">
        <w:rPr>
          <w:rFonts w:ascii="Times New Roman" w:eastAsia="Times New Roman" w:hAnsi="Times New Roman" w:cs="Times New Roman"/>
          <w:sz w:val="22"/>
          <w:szCs w:val="22"/>
        </w:rPr>
        <w:t xml:space="preserve"> </w:t>
      </w:r>
      <w:r>
        <w:rPr>
          <w:rFonts w:ascii="Times New Roman" w:eastAsia="Times New Roman" w:hAnsi="Times New Roman" w:cs="Times New Roman"/>
          <w:sz w:val="22"/>
          <w:szCs w:val="22"/>
        </w:rPr>
        <w:t>Masiulio, efektyvi išlaidų kontrolė yra būtina verslo dalis, tačiau vien taupymas savaime neužtikrina augimo ir ilgalaikio rezultato.</w:t>
      </w:r>
    </w:p>
    <w:p w14:paraId="326DC57E" w14:textId="77777777" w:rsidR="00475CF9" w:rsidRDefault="00475CF9">
      <w:pPr>
        <w:jc w:val="both"/>
        <w:rPr>
          <w:rFonts w:ascii="Times New Roman" w:eastAsia="Times New Roman" w:hAnsi="Times New Roman" w:cs="Times New Roman"/>
          <w:sz w:val="22"/>
          <w:szCs w:val="22"/>
        </w:rPr>
      </w:pPr>
    </w:p>
    <w:p w14:paraId="383E48B8" w14:textId="77777777" w:rsidR="00475CF9" w:rsidRDefault="00000000">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„Dažnai sakoma, kad problema yra per dideli kaštai, tačiau dažniausiai problema yra per mažos pajamos. Jeigu prie tų pačių kaštų pavyksta padidinti pajamas, įmonė tampa pelninga. Todėl pirmiausia reikia ieškoti, iš kur galima auginti pajamas, o ne tik mažinti išlaidas“, – teigia P. Masiulis.</w:t>
      </w:r>
    </w:p>
    <w:p w14:paraId="48787B6F" w14:textId="77777777" w:rsidR="00475CF9" w:rsidRDefault="00475CF9">
      <w:pPr>
        <w:jc w:val="both"/>
        <w:rPr>
          <w:rFonts w:ascii="Times New Roman" w:eastAsia="Times New Roman" w:hAnsi="Times New Roman" w:cs="Times New Roman"/>
          <w:sz w:val="22"/>
          <w:szCs w:val="22"/>
        </w:rPr>
      </w:pPr>
    </w:p>
    <w:p w14:paraId="51241AD4" w14:textId="77777777" w:rsidR="00475CF9" w:rsidRDefault="00475CF9">
      <w:pPr>
        <w:jc w:val="both"/>
        <w:rPr>
          <w:rFonts w:ascii="Times New Roman" w:eastAsia="Times New Roman" w:hAnsi="Times New Roman" w:cs="Times New Roman"/>
          <w:sz w:val="22"/>
          <w:szCs w:val="22"/>
        </w:rPr>
      </w:pPr>
    </w:p>
    <w:p w14:paraId="7126181F" w14:textId="77777777" w:rsidR="00475CF9" w:rsidRDefault="00000000">
      <w:pPr>
        <w:jc w:val="both"/>
        <w:rPr>
          <w:rFonts w:ascii="Times New Roman" w:eastAsia="Times New Roman" w:hAnsi="Times New Roman" w:cs="Times New Roman"/>
          <w:b/>
          <w:bCs/>
          <w:color w:val="000000"/>
        </w:rPr>
      </w:pPr>
      <w:r>
        <w:rPr>
          <w:rFonts w:ascii="Times New Roman" w:eastAsia="Times New Roman" w:hAnsi="Times New Roman" w:cs="Times New Roman"/>
          <w:b/>
          <w:bCs/>
          <w:color w:val="000000"/>
        </w:rPr>
        <w:t>Daugiau informacijos:</w:t>
      </w:r>
    </w:p>
    <w:p w14:paraId="5D7846AF" w14:textId="77777777" w:rsidR="00475CF9" w:rsidRDefault="00000000">
      <w:pPr>
        <w:jc w:val="both"/>
        <w:rPr>
          <w:rFonts w:ascii="Times New Roman" w:eastAsia="Times New Roman" w:hAnsi="Times New Roman" w:cs="Times New Roman"/>
          <w:color w:val="000000"/>
        </w:rPr>
      </w:pPr>
      <w:r>
        <w:rPr>
          <w:rFonts w:ascii="Times New Roman" w:eastAsia="Times New Roman" w:hAnsi="Times New Roman" w:cs="Times New Roman"/>
          <w:color w:val="000000"/>
        </w:rPr>
        <w:t>Asta Buitkutė</w:t>
      </w:r>
    </w:p>
    <w:p w14:paraId="6A3C974A" w14:textId="77777777" w:rsidR="00475CF9" w:rsidRDefault="00000000">
      <w:pPr>
        <w:jc w:val="both"/>
        <w:rPr>
          <w:rFonts w:ascii="Times New Roman" w:eastAsia="Times New Roman" w:hAnsi="Times New Roman" w:cs="Times New Roman"/>
          <w:color w:val="000000"/>
        </w:rPr>
      </w:pPr>
      <w:r>
        <w:rPr>
          <w:rFonts w:ascii="Times New Roman" w:eastAsia="Times New Roman" w:hAnsi="Times New Roman" w:cs="Times New Roman"/>
          <w:color w:val="000000"/>
        </w:rPr>
        <w:t>„Tele2“ atstovė ryšiams su visuomene</w:t>
      </w:r>
    </w:p>
    <w:p w14:paraId="3184EB6B" w14:textId="77777777" w:rsidR="00475CF9" w:rsidRDefault="00000000">
      <w:pPr>
        <w:jc w:val="both"/>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M +370 668 00467</w:t>
      </w:r>
    </w:p>
    <w:p w14:paraId="5348332C" w14:textId="77777777" w:rsidR="00475CF9" w:rsidRDefault="00000000">
      <w:pPr>
        <w:jc w:val="both"/>
        <w:rPr>
          <w:rFonts w:ascii="Times New Roman" w:eastAsia="Times New Roman" w:hAnsi="Times New Roman" w:cs="Times New Roman"/>
          <w:color w:val="222222"/>
        </w:rPr>
      </w:pPr>
      <w:r>
        <w:rPr>
          <w:rFonts w:ascii="Times New Roman" w:eastAsia="Times New Roman" w:hAnsi="Times New Roman" w:cs="Times New Roman"/>
          <w:color w:val="000000"/>
        </w:rPr>
        <w:t>@ asta.buitkute@tele2.com</w:t>
      </w:r>
    </w:p>
    <w:sectPr w:rsidR="00475CF9">
      <w:headerReference w:type="default" r:id="rId7"/>
      <w:footerReference w:type="default" r:id="rId8"/>
      <w:pgSz w:w="11900" w:h="16840"/>
      <w:pgMar w:top="1440" w:right="1440" w:bottom="1440" w:left="1440" w:header="709" w:footer="709" w:gutter="0"/>
      <w:pgNumType w:start="1"/>
      <w:cols w:space="12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993AF3D" w14:textId="77777777" w:rsidR="003D32FA" w:rsidRDefault="003D32FA">
      <w:r>
        <w:separator/>
      </w:r>
    </w:p>
  </w:endnote>
  <w:endnote w:type="continuationSeparator" w:id="0">
    <w:p w14:paraId="030828A2" w14:textId="77777777" w:rsidR="003D32FA" w:rsidRDefault="003D32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BA"/>
    <w:family w:val="swiss"/>
    <w:pitch w:val="variable"/>
    <w:sig w:usb0="E4002EFF" w:usb1="C200247B" w:usb2="00000009" w:usb3="00000000" w:csb0="000001FF" w:csb1="00000000"/>
    <w:embedRegular r:id="rId1" w:fontKey="{42E8FF7C-7BBF-460A-AA78-605798E01207}"/>
    <w:embedBold r:id="rId2" w:fontKey="{656264C1-E22D-424C-9044-CC641D25E926}"/>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BA"/>
    <w:family w:val="roman"/>
    <w:pitch w:val="variable"/>
    <w:sig w:usb0="00000287" w:usb1="00000000" w:usb2="00000000" w:usb3="00000000" w:csb0="0000009F" w:csb1="00000000"/>
    <w:embedItalic r:id="rId3" w:fontKey="{0D6CC577-A6E9-4274-9520-A815173BC849}"/>
  </w:font>
  <w:font w:name="Arial">
    <w:panose1 w:val="020B0604020202020204"/>
    <w:charset w:val="00"/>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embedRegular r:id="rId4" w:fontKey="{2797B50F-B78E-4856-AA9F-E088BD3200D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AEC501" w14:textId="77777777" w:rsidR="00475CF9" w:rsidRDefault="00000000">
    <w:pPr>
      <w:rPr>
        <w:rFonts w:ascii="Arial" w:eastAsia="Arial" w:hAnsi="Arial" w:cs="Arial"/>
        <w:b/>
        <w:bCs/>
        <w:sz w:val="16"/>
        <w:szCs w:val="16"/>
      </w:rPr>
    </w:pPr>
    <w:r>
      <w:rPr>
        <w:rFonts w:ascii="Arial" w:eastAsia="Arial" w:hAnsi="Arial" w:cs="Arial"/>
        <w:b/>
        <w:bCs/>
        <w:sz w:val="16"/>
        <w:szCs w:val="16"/>
      </w:rPr>
      <w:t>Apie „Tele2“</w:t>
    </w:r>
    <w:r>
      <w:rPr>
        <w:noProof/>
      </w:rPr>
      <mc:AlternateContent>
        <mc:Choice Requires="wps">
          <w:drawing>
            <wp:anchor distT="0" distB="0" distL="114300" distR="114300" simplePos="0" relativeHeight="251659264" behindDoc="0" locked="0" layoutInCell="1" hidden="0" allowOverlap="1" wp14:anchorId="41C77177" wp14:editId="1B58B434">
              <wp:simplePos x="0" y="0"/>
              <wp:positionH relativeFrom="column">
                <wp:posOffset>-919161</wp:posOffset>
              </wp:positionH>
              <wp:positionV relativeFrom="paragraph">
                <wp:posOffset>10224453</wp:posOffset>
              </wp:positionV>
              <wp:extent cx="7566025" cy="282575"/>
              <wp:effectExtent l="0" t="0" r="0" b="0"/>
              <wp:wrapNone/>
              <wp:docPr id="1" name="Rectangle 1" descr="{&quot;HashCode&quot;:-639942987,&quot;Height&quot;:842.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wps:spPr>
                      <a:xfrm>
                        <a:off x="1567750" y="3643475"/>
                        <a:ext cx="7556500" cy="273050"/>
                      </a:xfrm>
                      <a:prstGeom prst="rect">
                        <a:avLst/>
                      </a:prstGeom>
                      <a:noFill/>
                      <a:ln>
                        <a:noFill/>
                      </a:ln>
                    </wps:spPr>
                    <wps:txbx>
                      <w:txbxContent>
                        <w:p w14:paraId="3505FDCB" w14:textId="77777777" w:rsidR="00475CF9" w:rsidRDefault="00475CF9">
                          <w:pPr>
                            <w:textDirection w:val="btLr"/>
                          </w:pPr>
                        </w:p>
                      </w:txbxContent>
                    </wps:txbx>
                    <wps:bodyPr spcFirstLastPara="1" wrap="square" lIns="254000" tIns="0" rIns="91425" bIns="0" anchor="b" anchorCtr="0">
                      <a:noAutofit/>
                    </wps:bodyPr>
                  </wps:wsp>
                </a:graphicData>
              </a:graphic>
            </wp:anchor>
          </w:drawing>
        </mc:Choice>
        <mc:Fallback>
          <w:pict>
            <v:rect w14:anchorId="41C77177" id="Rectangle 1" o:spid="_x0000_s1026" alt="{&quot;HashCode&quot;:-639942987,&quot;Height&quot;:842.0,&quot;Width&quot;:595.0,&quot;Placement&quot;:&quot;Footer&quot;,&quot;Index&quot;:&quot;Primary&quot;,&quot;Section&quot;:1,&quot;Top&quot;:0.0,&quot;Left&quot;:0.0}" style="position:absolute;margin-left:-72.35pt;margin-top:805.1pt;width:595.75pt;height:22.25pt;z-index:251659264;visibility:visible;mso-wrap-style:square;mso-wrap-distance-left:9pt;mso-wrap-distance-top:0;mso-wrap-distance-right:9pt;mso-wrap-distance-bottom:0;mso-position-horizontal:absolute;mso-position-horizontal-relative:text;mso-position-vertical:absolute;mso-position-vertical-relative:text;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" filled="f" stroked="f">
              <v:textbox inset="20pt,0,2.53958mm,0">
                <w:txbxContent>
                  <w:p w14:paraId="3505FDCB" w14:textId="77777777" w:rsidR="00475CF9" w:rsidRDefault="00475CF9">
                    <w:pPr>
                      <w:textDirection w:val="btLr"/>
                    </w:pPr>
                  </w:p>
                </w:txbxContent>
              </v:textbox>
            </v:rect>
          </w:pict>
        </mc:Fallback>
      </mc:AlternateContent>
    </w:r>
  </w:p>
  <w:p w14:paraId="05C862D3" w14:textId="77777777" w:rsidR="00475CF9" w:rsidRDefault="00000000">
    <w:pPr>
      <w:jc w:val="both"/>
      <w:rPr>
        <w:rFonts w:ascii="Arial" w:eastAsia="Arial" w:hAnsi="Arial" w:cs="Arial"/>
        <w:color w:val="0000FF"/>
        <w:sz w:val="18"/>
        <w:szCs w:val="18"/>
        <w:u w:val="single"/>
      </w:rPr>
    </w:pPr>
    <w:r>
      <w:rPr>
        <w:rFonts w:ascii="Arial" w:eastAsia="Arial" w:hAnsi="Arial" w:cs="Arial"/>
        <w:sz w:val="18"/>
        <w:szCs w:val="18"/>
      </w:rPr>
      <w:t xml:space="preserve">„Tele2“ nuolatos siekia teikti geriausius pasiūlymus ir siūlyti mažiausias kainas rinkoje. Bendrovė teikia mobiliojo ir fiksuoto ryšio, duomenų perdavimo, kabelinės televizijos, turinio ir daiktų interneto sprendimų paslaugas milijonams klientų. Nuo 1993 m., kai </w:t>
    </w:r>
    <w:proofErr w:type="spellStart"/>
    <w:r>
      <w:rPr>
        <w:rFonts w:ascii="Arial" w:eastAsia="Arial" w:hAnsi="Arial" w:cs="Arial"/>
        <w:sz w:val="18"/>
        <w:szCs w:val="18"/>
      </w:rPr>
      <w:t>Jan</w:t>
    </w:r>
    <w:proofErr w:type="spellEnd"/>
    <w:r>
      <w:rPr>
        <w:rFonts w:ascii="Arial" w:eastAsia="Arial" w:hAnsi="Arial" w:cs="Arial"/>
        <w:sz w:val="18"/>
        <w:szCs w:val="18"/>
      </w:rPr>
      <w:t xml:space="preserve"> </w:t>
    </w:r>
    <w:proofErr w:type="spellStart"/>
    <w:r>
      <w:rPr>
        <w:rFonts w:ascii="Arial" w:eastAsia="Arial" w:hAnsi="Arial" w:cs="Arial"/>
        <w:sz w:val="18"/>
        <w:szCs w:val="18"/>
      </w:rPr>
      <w:t>Stenbeck</w:t>
    </w:r>
    <w:proofErr w:type="spellEnd"/>
    <w:r>
      <w:rPr>
        <w:rFonts w:ascii="Arial" w:eastAsia="Arial" w:hAnsi="Arial" w:cs="Arial"/>
        <w:sz w:val="18"/>
        <w:szCs w:val="18"/>
      </w:rPr>
      <w:t xml:space="preserve"> įkūrė bendrovę, ji tapo rimtu konkurentu buvusioms valstybinėms monopolijoms ir kitiems ryšio tiekėjams. Nuo 1996 m. „Tele2“ įtraukta į NASDAQ OMX Stokholmo vertybinių popierių biržos sąrašus. Lietuvoje „Tele2“ pradėjo veiklą 2000 metais. Aplankykite mus </w:t>
    </w:r>
    <w:hyperlink r:id="rId1">
      <w:r>
        <w:rPr>
          <w:rFonts w:ascii="Arial" w:eastAsia="Arial" w:hAnsi="Arial" w:cs="Arial"/>
          <w:color w:val="0000FF"/>
          <w:sz w:val="18"/>
          <w:szCs w:val="18"/>
          <w:u w:val="single"/>
        </w:rPr>
        <w:t>www.tele2.lt</w:t>
      </w:r>
    </w:hyperlink>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93B6A7" w14:textId="77777777" w:rsidR="003D32FA" w:rsidRDefault="003D32FA">
      <w:r>
        <w:separator/>
      </w:r>
    </w:p>
  </w:footnote>
  <w:footnote w:type="continuationSeparator" w:id="0">
    <w:p w14:paraId="6CA2230C" w14:textId="77777777" w:rsidR="003D32FA" w:rsidRDefault="003D32F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CC8D4C" w14:textId="77777777" w:rsidR="00475CF9" w:rsidRDefault="00000000">
    <w:pPr>
      <w:pBdr>
        <w:top w:val="nil"/>
        <w:left w:val="nil"/>
        <w:bottom w:val="nil"/>
        <w:right w:val="nil"/>
        <w:between w:val="nil"/>
      </w:pBdr>
      <w:tabs>
        <w:tab w:val="center" w:pos="4513"/>
        <w:tab w:val="right" w:pos="9026"/>
      </w:tabs>
      <w:rPr>
        <w:color w:val="000000"/>
      </w:rPr>
    </w:pPr>
    <w:r>
      <w:rPr>
        <w:noProof/>
      </w:rPr>
      <w:drawing>
        <wp:anchor distT="0" distB="0" distL="114300" distR="114300" simplePos="0" relativeHeight="251658240" behindDoc="0" locked="0" layoutInCell="1" hidden="0" allowOverlap="1" wp14:anchorId="4C50E076" wp14:editId="55BFFFDC">
          <wp:simplePos x="0" y="0"/>
          <wp:positionH relativeFrom="column">
            <wp:posOffset>4753610</wp:posOffset>
          </wp:positionH>
          <wp:positionV relativeFrom="paragraph">
            <wp:posOffset>-266064</wp:posOffset>
          </wp:positionV>
          <wp:extent cx="1046191" cy="557969"/>
          <wp:effectExtent l="0" t="0" r="0" b="0"/>
          <wp:wrapNone/>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046191" cy="557969"/>
                  </a:xfrm>
                  <a:prstGeom prst="rect">
                    <a:avLst/>
                  </a:prstGeom>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75CF9"/>
    <w:rsid w:val="003B69CC"/>
    <w:rsid w:val="003D32FA"/>
    <w:rsid w:val="00475CF9"/>
    <w:rsid w:val="004E4B1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CE9D87F"/>
  <w15:docId w15:val="{210EA9EF-850D-4E46-ACC6-484BDD9287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4"/>
        <w:szCs w:val="24"/>
        <w:lang w:val="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outlineLvl w:val="2"/>
    </w:pPr>
    <w:rPr>
      <w:rFonts w:ascii="Times New Roman" w:eastAsia="Times New Roman" w:hAnsi="Times New Roman" w:cs="Times New Roman"/>
      <w:b/>
      <w:bCs/>
      <w:sz w:val="27"/>
      <w:szCs w:val="27"/>
    </w:rPr>
  </w:style>
  <w:style w:type="paragraph" w:styleId="Heading4">
    <w:name w:val="heading 4"/>
    <w:basedOn w:val="Normal"/>
    <w:next w:val="Normal"/>
    <w:uiPriority w:val="9"/>
    <w:semiHidden/>
    <w:unhideWhenUsed/>
    <w:qFormat/>
    <w:pPr>
      <w:keepNext/>
      <w:keepLines/>
      <w:spacing w:before="240" w:after="40"/>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www.tele2.lt"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BJiQ60SMHz19Mq2m4UbBqe56jWw==">CgMxLjA4AHIhMUZTcmhlWnBmMk94QkNtZU00MVoydkpLTWdQRHJheTJ1</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Pages>
  <Words>1877</Words>
  <Characters>1070</Characters>
  <Application>Microsoft Office Word</Application>
  <DocSecurity>0</DocSecurity>
  <Lines>8</Lines>
  <Paragraphs>5</Paragraphs>
  <ScaleCrop>false</ScaleCrop>
  <Company/>
  <LinksUpToDate>false</LinksUpToDate>
  <CharactersWithSpaces>2942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Gravitas Partners</cp:lastModifiedBy>
  <cp:revision>2</cp:revision>
  <dcterms:created xsi:type="dcterms:W3CDTF">2026-05-18T14:32:00Z</dcterms:created>
  <dcterms:modified xsi:type="dcterms:W3CDTF">2026-05-18T14:33:00Z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ecca9737-3fb7-4a23-a452-5fd2dddae788_Enabled">
    <vt:lpwstr>true</vt:lpwstr>
  </property>
  <property fmtid="{D5CDD505-2E9C-101B-9397-08002B2CF9AE}" pid="3" name="MSIP_Label_ecca9737-3fb7-4a23-a452-5fd2dddae788_SetDate">
    <vt:lpwstr>2021-07-05T05:13:11Z</vt:lpwstr>
  </property>
  <property fmtid="{D5CDD505-2E9C-101B-9397-08002B2CF9AE}" pid="4" name="MSIP_Label_ecca9737-3fb7-4a23-a452-5fd2dddae788_Method">
    <vt:lpwstr>Standard</vt:lpwstr>
  </property>
  <property fmtid="{D5CDD505-2E9C-101B-9397-08002B2CF9AE}" pid="5" name="MSIP_Label_ecca9737-3fb7-4a23-a452-5fd2dddae788_Name">
    <vt:lpwstr>Internal</vt:lpwstr>
  </property>
  <property fmtid="{D5CDD505-2E9C-101B-9397-08002B2CF9AE}" pid="6" name="MSIP_Label_ecca9737-3fb7-4a23-a452-5fd2dddae788_SiteId">
    <vt:lpwstr>76431109-ff89-42c2-8781-a07ca07a2d57</vt:lpwstr>
  </property>
  <property fmtid="{D5CDD505-2E9C-101B-9397-08002B2CF9AE}" pid="7" name="MSIP_Label_ecca9737-3fb7-4a23-a452-5fd2dddae788_ActionId">
    <vt:lpwstr>55c7c224-13ca-42fc-9f2a-8bfe461c24fc</vt:lpwstr>
  </property>
  <property fmtid="{D5CDD505-2E9C-101B-9397-08002B2CF9AE}" pid="8" name="MSIP_Label_ecca9737-3fb7-4a23-a452-5fd2dddae788_ContentBits">
    <vt:lpwstr>2</vt:lpwstr>
  </property>
  <property fmtid="{D5CDD505-2E9C-101B-9397-08002B2CF9AE}" pid="9" name="GrammarlyDocumentId">
    <vt:lpwstr>a7bab780030ea9a742b2af2ed669654013791b30c7984ad079e31a1d543ee316</vt:lpwstr>
  </property>
</Properties>
</file>