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871C0" w14:textId="5569A15D" w:rsidR="002A2DCC" w:rsidRPr="00810B3A" w:rsidRDefault="002A2DCC" w:rsidP="002A2DCC">
      <w:pPr>
        <w:spacing w:before="100" w:beforeAutospacing="1" w:after="100" w:afterAutospacing="1" w:line="240" w:lineRule="auto"/>
        <w:jc w:val="both"/>
        <w:outlineLvl w:val="1"/>
        <w:rPr>
          <w:rFonts w:ascii="Times New Roman" w:eastAsia="Times New Roman" w:hAnsi="Times New Roman" w:cs="Times New Roman"/>
          <w:b/>
          <w:bCs/>
          <w:kern w:val="0"/>
          <w:sz w:val="24"/>
          <w:szCs w:val="24"/>
          <w:lang w:eastAsia="lt-LT"/>
          <w14:ligatures w14:val="none"/>
        </w:rPr>
      </w:pPr>
      <w:r w:rsidRPr="002A2DCC">
        <w:rPr>
          <w:rFonts w:ascii="Times New Roman" w:eastAsia="Times New Roman" w:hAnsi="Times New Roman" w:cs="Times New Roman"/>
          <w:b/>
          <w:bCs/>
          <w:kern w:val="0"/>
          <w:sz w:val="24"/>
          <w:szCs w:val="24"/>
          <w:lang w:eastAsia="lt-LT"/>
          <w14:ligatures w14:val="none"/>
        </w:rPr>
        <w:t xml:space="preserve">Pranešimas </w:t>
      </w:r>
      <w:r w:rsidRPr="00810B3A">
        <w:rPr>
          <w:rFonts w:ascii="Times New Roman" w:eastAsia="Times New Roman" w:hAnsi="Times New Roman" w:cs="Times New Roman"/>
          <w:b/>
          <w:bCs/>
          <w:kern w:val="0"/>
          <w:sz w:val="24"/>
          <w:szCs w:val="24"/>
          <w:lang w:eastAsia="lt-LT"/>
          <w14:ligatures w14:val="none"/>
        </w:rPr>
        <w:t>žiniasklaidai</w:t>
      </w:r>
    </w:p>
    <w:p w14:paraId="0B123498" w14:textId="468FB401" w:rsidR="002A2DCC" w:rsidRPr="002A2DCC" w:rsidRDefault="002A2DCC" w:rsidP="002A2DCC">
      <w:pPr>
        <w:spacing w:before="100" w:beforeAutospacing="1" w:after="100" w:afterAutospacing="1" w:line="240" w:lineRule="auto"/>
        <w:jc w:val="both"/>
        <w:outlineLvl w:val="1"/>
        <w:rPr>
          <w:rFonts w:ascii="Times New Roman" w:eastAsia="Times New Roman" w:hAnsi="Times New Roman" w:cs="Times New Roman"/>
          <w:b/>
          <w:bCs/>
          <w:kern w:val="0"/>
          <w:sz w:val="24"/>
          <w:szCs w:val="24"/>
          <w:lang w:eastAsia="lt-LT"/>
          <w14:ligatures w14:val="none"/>
        </w:rPr>
      </w:pPr>
      <w:r w:rsidRPr="00810B3A">
        <w:rPr>
          <w:rFonts w:ascii="Times New Roman" w:eastAsia="Times New Roman" w:hAnsi="Times New Roman" w:cs="Times New Roman"/>
          <w:b/>
          <w:bCs/>
          <w:kern w:val="0"/>
          <w:sz w:val="24"/>
          <w:szCs w:val="24"/>
          <w:lang w:eastAsia="lt-LT"/>
          <w14:ligatures w14:val="none"/>
        </w:rPr>
        <w:t>2026 05 20</w:t>
      </w:r>
    </w:p>
    <w:p w14:paraId="33D0B7AE" w14:textId="77777777" w:rsidR="002A2DCC" w:rsidRPr="002A2DCC" w:rsidRDefault="002A2DCC" w:rsidP="002A2DCC">
      <w:pPr>
        <w:spacing w:before="100" w:beforeAutospacing="1" w:after="100" w:afterAutospacing="1" w:line="240" w:lineRule="auto"/>
        <w:jc w:val="both"/>
        <w:outlineLvl w:val="2"/>
        <w:rPr>
          <w:rFonts w:ascii="Times New Roman" w:eastAsia="Times New Roman" w:hAnsi="Times New Roman" w:cs="Times New Roman"/>
          <w:b/>
          <w:bCs/>
          <w:kern w:val="0"/>
          <w:sz w:val="24"/>
          <w:szCs w:val="24"/>
          <w:lang w:eastAsia="lt-LT"/>
          <w14:ligatures w14:val="none"/>
        </w:rPr>
      </w:pPr>
      <w:r w:rsidRPr="002A2DCC">
        <w:rPr>
          <w:rFonts w:ascii="Times New Roman" w:eastAsia="Times New Roman" w:hAnsi="Times New Roman" w:cs="Times New Roman"/>
          <w:b/>
          <w:bCs/>
          <w:kern w:val="0"/>
          <w:sz w:val="24"/>
          <w:szCs w:val="24"/>
          <w:lang w:eastAsia="lt-LT"/>
          <w14:ligatures w14:val="none"/>
        </w:rPr>
        <w:t>Teismas atmetė „</w:t>
      </w:r>
      <w:proofErr w:type="spellStart"/>
      <w:r w:rsidRPr="002A2DCC">
        <w:rPr>
          <w:rFonts w:ascii="Times New Roman" w:eastAsia="Times New Roman" w:hAnsi="Times New Roman" w:cs="Times New Roman"/>
          <w:b/>
          <w:bCs/>
          <w:kern w:val="0"/>
          <w:sz w:val="24"/>
          <w:szCs w:val="24"/>
          <w:lang w:eastAsia="lt-LT"/>
          <w14:ligatures w14:val="none"/>
        </w:rPr>
        <w:t>Biotecus</w:t>
      </w:r>
      <w:proofErr w:type="spellEnd"/>
      <w:r w:rsidRPr="002A2DCC">
        <w:rPr>
          <w:rFonts w:ascii="Times New Roman" w:eastAsia="Times New Roman" w:hAnsi="Times New Roman" w:cs="Times New Roman"/>
          <w:b/>
          <w:bCs/>
          <w:kern w:val="0"/>
          <w:sz w:val="24"/>
          <w:szCs w:val="24"/>
          <w:lang w:eastAsia="lt-LT"/>
          <w14:ligatures w14:val="none"/>
        </w:rPr>
        <w:t>“ skundą dėl NTAKD skirtų baudų už kanapių suktinių prekybą</w:t>
      </w:r>
    </w:p>
    <w:p w14:paraId="69235B63" w14:textId="21ACB181"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2026 m. gegužės 18 d. Regionų administracinis teismas atmetė UAB „</w:t>
      </w:r>
      <w:proofErr w:type="spellStart"/>
      <w:r w:rsidRPr="002A2DCC">
        <w:rPr>
          <w:rFonts w:ascii="Times New Roman" w:eastAsia="Times New Roman" w:hAnsi="Times New Roman" w:cs="Times New Roman"/>
          <w:kern w:val="0"/>
          <w:sz w:val="24"/>
          <w:szCs w:val="24"/>
          <w:lang w:eastAsia="lt-LT"/>
          <w14:ligatures w14:val="none"/>
        </w:rPr>
        <w:t>Biotecus</w:t>
      </w:r>
      <w:proofErr w:type="spellEnd"/>
      <w:r w:rsidRPr="002A2DCC">
        <w:rPr>
          <w:rFonts w:ascii="Times New Roman" w:eastAsia="Times New Roman" w:hAnsi="Times New Roman" w:cs="Times New Roman"/>
          <w:kern w:val="0"/>
          <w:sz w:val="24"/>
          <w:szCs w:val="24"/>
          <w:lang w:eastAsia="lt-LT"/>
          <w14:ligatures w14:val="none"/>
        </w:rPr>
        <w:t>“</w:t>
      </w:r>
      <w:r w:rsidR="008925DF">
        <w:rPr>
          <w:rFonts w:ascii="Times New Roman" w:eastAsia="Times New Roman" w:hAnsi="Times New Roman" w:cs="Times New Roman"/>
          <w:kern w:val="0"/>
          <w:sz w:val="24"/>
          <w:szCs w:val="24"/>
          <w:lang w:eastAsia="lt-LT"/>
          <w14:ligatures w14:val="none"/>
        </w:rPr>
        <w:t xml:space="preserve"> (toliau – Įmonė)</w:t>
      </w:r>
      <w:r w:rsidRPr="002A2DCC">
        <w:rPr>
          <w:rFonts w:ascii="Times New Roman" w:eastAsia="Times New Roman" w:hAnsi="Times New Roman" w:cs="Times New Roman"/>
          <w:kern w:val="0"/>
          <w:sz w:val="24"/>
          <w:szCs w:val="24"/>
          <w:lang w:eastAsia="lt-LT"/>
          <w14:ligatures w14:val="none"/>
        </w:rPr>
        <w:t xml:space="preserve"> skundą ir paliko galioti Narkotikų, tabako ir alkoholio kontrolės departamento (NTAKD) skirtas ekonomines sankcijas dėl neteisėto rūkomųjų žolinių gaminių tiekimo rinkai.</w:t>
      </w:r>
    </w:p>
    <w:p w14:paraId="0C75C241" w14:textId="18742A0F"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 xml:space="preserve">Teismas konstatavo, kad </w:t>
      </w:r>
      <w:r w:rsidR="008925DF">
        <w:rPr>
          <w:rFonts w:ascii="Times New Roman" w:eastAsia="Times New Roman" w:hAnsi="Times New Roman" w:cs="Times New Roman"/>
          <w:kern w:val="0"/>
          <w:sz w:val="24"/>
          <w:szCs w:val="24"/>
          <w:lang w:eastAsia="lt-LT"/>
          <w14:ligatures w14:val="none"/>
        </w:rPr>
        <w:t>Įmonės</w:t>
      </w:r>
      <w:r w:rsidRPr="002A2DCC">
        <w:rPr>
          <w:rFonts w:ascii="Times New Roman" w:eastAsia="Times New Roman" w:hAnsi="Times New Roman" w:cs="Times New Roman"/>
          <w:kern w:val="0"/>
          <w:sz w:val="24"/>
          <w:szCs w:val="24"/>
          <w:lang w:eastAsia="lt-LT"/>
          <w14:ligatures w14:val="none"/>
        </w:rPr>
        <w:t xml:space="preserve"> platinti gaminiai „Kanapių žiedų arbata </w:t>
      </w:r>
      <w:proofErr w:type="spellStart"/>
      <w:r w:rsidRPr="002A2DCC">
        <w:rPr>
          <w:rFonts w:ascii="Times New Roman" w:eastAsia="Times New Roman" w:hAnsi="Times New Roman" w:cs="Times New Roman"/>
          <w:kern w:val="0"/>
          <w:sz w:val="24"/>
          <w:szCs w:val="24"/>
          <w:lang w:eastAsia="lt-LT"/>
          <w14:ligatures w14:val="none"/>
        </w:rPr>
        <w:t>Roll</w:t>
      </w:r>
      <w:proofErr w:type="spellEnd"/>
      <w:r w:rsidRPr="002A2DCC">
        <w:rPr>
          <w:rFonts w:ascii="Times New Roman" w:eastAsia="Times New Roman" w:hAnsi="Times New Roman" w:cs="Times New Roman"/>
          <w:kern w:val="0"/>
          <w:sz w:val="24"/>
          <w:szCs w:val="24"/>
          <w:lang w:eastAsia="lt-LT"/>
          <w14:ligatures w14:val="none"/>
        </w:rPr>
        <w:t xml:space="preserve">“ ir „Kanapių žiedų arbata </w:t>
      </w:r>
      <w:proofErr w:type="spellStart"/>
      <w:r w:rsidRPr="002A2DCC">
        <w:rPr>
          <w:rFonts w:ascii="Times New Roman" w:eastAsia="Times New Roman" w:hAnsi="Times New Roman" w:cs="Times New Roman"/>
          <w:kern w:val="0"/>
          <w:sz w:val="24"/>
          <w:szCs w:val="24"/>
          <w:lang w:eastAsia="lt-LT"/>
          <w14:ligatures w14:val="none"/>
        </w:rPr>
        <w:t>Roll</w:t>
      </w:r>
      <w:proofErr w:type="spellEnd"/>
      <w:r w:rsidRPr="002A2DCC">
        <w:rPr>
          <w:rFonts w:ascii="Times New Roman" w:eastAsia="Times New Roman" w:hAnsi="Times New Roman" w:cs="Times New Roman"/>
          <w:kern w:val="0"/>
          <w:sz w:val="24"/>
          <w:szCs w:val="24"/>
          <w:lang w:eastAsia="lt-LT"/>
          <w14:ligatures w14:val="none"/>
        </w:rPr>
        <w:t xml:space="preserve"> Premium“ iš tiesų buvo rūkomieji žoliniai gaminiai, o ne arbata, kaip teigė </w:t>
      </w:r>
      <w:r w:rsidR="008925DF">
        <w:rPr>
          <w:rFonts w:ascii="Times New Roman" w:eastAsia="Times New Roman" w:hAnsi="Times New Roman" w:cs="Times New Roman"/>
          <w:kern w:val="0"/>
          <w:sz w:val="24"/>
          <w:szCs w:val="24"/>
          <w:lang w:eastAsia="lt-LT"/>
          <w14:ligatures w14:val="none"/>
        </w:rPr>
        <w:t>Į</w:t>
      </w:r>
      <w:r w:rsidRPr="002A2DCC">
        <w:rPr>
          <w:rFonts w:ascii="Times New Roman" w:eastAsia="Times New Roman" w:hAnsi="Times New Roman" w:cs="Times New Roman"/>
          <w:kern w:val="0"/>
          <w:sz w:val="24"/>
          <w:szCs w:val="24"/>
          <w:lang w:eastAsia="lt-LT"/>
          <w14:ligatures w14:val="none"/>
        </w:rPr>
        <w:t xml:space="preserve">monė. Sprendime pažymėta, kad gaminių forma, konstrukcija ir pateikimas atitiko </w:t>
      </w:r>
      <w:r w:rsidR="008925DF">
        <w:rPr>
          <w:rFonts w:ascii="Times New Roman" w:eastAsia="Times New Roman" w:hAnsi="Times New Roman" w:cs="Times New Roman"/>
          <w:kern w:val="0"/>
          <w:sz w:val="24"/>
          <w:szCs w:val="24"/>
          <w:lang w:eastAsia="lt-LT"/>
          <w14:ligatures w14:val="none"/>
        </w:rPr>
        <w:t>„</w:t>
      </w:r>
      <w:r w:rsidRPr="002A2DCC">
        <w:rPr>
          <w:rFonts w:ascii="Times New Roman" w:eastAsia="Times New Roman" w:hAnsi="Times New Roman" w:cs="Times New Roman"/>
          <w:kern w:val="0"/>
          <w:sz w:val="24"/>
          <w:szCs w:val="24"/>
          <w:lang w:eastAsia="lt-LT"/>
          <w14:ligatures w14:val="none"/>
        </w:rPr>
        <w:t>suktinių</w:t>
      </w:r>
      <w:r w:rsidR="008925DF">
        <w:rPr>
          <w:rFonts w:ascii="Times New Roman" w:eastAsia="Times New Roman" w:hAnsi="Times New Roman" w:cs="Times New Roman"/>
          <w:kern w:val="0"/>
          <w:sz w:val="24"/>
          <w:szCs w:val="24"/>
          <w:lang w:eastAsia="lt-LT"/>
          <w14:ligatures w14:val="none"/>
        </w:rPr>
        <w:t>“</w:t>
      </w:r>
      <w:r w:rsidRPr="002A2DCC">
        <w:rPr>
          <w:rFonts w:ascii="Times New Roman" w:eastAsia="Times New Roman" w:hAnsi="Times New Roman" w:cs="Times New Roman"/>
          <w:kern w:val="0"/>
          <w:sz w:val="24"/>
          <w:szCs w:val="24"/>
          <w:lang w:eastAsia="lt-LT"/>
          <w14:ligatures w14:val="none"/>
        </w:rPr>
        <w:t xml:space="preserve"> požymius – jie buvo pagaminti iš rūkomojo popieriaus tūtelės su filtru ir užpildu iš smulkintų kanapių žiedų.</w:t>
      </w:r>
    </w:p>
    <w:p w14:paraId="1CA9F090" w14:textId="109C0948"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Bylos duomenimis, 2023 metų liepą NTAKD atliko patikrinimus prekybos vietose Vilniuje, kur buvo pardavinėjami minėti gaminiai. Muitinės laboratorijos specialistai nustatė, kad gaminiai pagal savo savybes priskirtini cigarilėms ar cigaretėms iš tabako pakaitalų, o Lietuvos policijos kriminalistinių tyrimų centras juose aptiko THC</w:t>
      </w:r>
      <w:r w:rsidR="008925DF">
        <w:rPr>
          <w:rFonts w:ascii="Times New Roman" w:eastAsia="Times New Roman" w:hAnsi="Times New Roman" w:cs="Times New Roman"/>
          <w:kern w:val="0"/>
          <w:sz w:val="24"/>
          <w:szCs w:val="24"/>
          <w:lang w:eastAsia="lt-LT"/>
          <w14:ligatures w14:val="none"/>
        </w:rPr>
        <w:t xml:space="preserve"> (</w:t>
      </w:r>
      <w:r w:rsidR="008925DF" w:rsidRPr="008925DF">
        <w:rPr>
          <w:rFonts w:ascii="Times New Roman" w:eastAsia="Times New Roman" w:hAnsi="Times New Roman" w:cs="Times New Roman"/>
          <w:b/>
          <w:bCs/>
          <w:kern w:val="0"/>
          <w:sz w:val="24"/>
          <w:szCs w:val="24"/>
          <w:lang w:eastAsia="lt-LT"/>
          <w14:ligatures w14:val="none"/>
        </w:rPr>
        <w:t>Tetrahidrokanabinoli</w:t>
      </w:r>
      <w:r w:rsidR="008925DF">
        <w:rPr>
          <w:rFonts w:ascii="Times New Roman" w:eastAsia="Times New Roman" w:hAnsi="Times New Roman" w:cs="Times New Roman"/>
          <w:b/>
          <w:bCs/>
          <w:kern w:val="0"/>
          <w:sz w:val="24"/>
          <w:szCs w:val="24"/>
          <w:lang w:eastAsia="lt-LT"/>
          <w14:ligatures w14:val="none"/>
        </w:rPr>
        <w:t>o</w:t>
      </w:r>
      <w:r w:rsidR="008925DF" w:rsidRPr="008925DF">
        <w:rPr>
          <w:rFonts w:ascii="Times New Roman" w:eastAsia="Times New Roman" w:hAnsi="Times New Roman" w:cs="Times New Roman"/>
          <w:kern w:val="0"/>
          <w:sz w:val="24"/>
          <w:szCs w:val="24"/>
          <w:lang w:eastAsia="lt-LT"/>
          <w14:ligatures w14:val="none"/>
        </w:rPr>
        <w:t xml:space="preserve"> </w:t>
      </w:r>
      <w:r w:rsidR="008925DF">
        <w:rPr>
          <w:rFonts w:ascii="Times New Roman" w:eastAsia="Times New Roman" w:hAnsi="Times New Roman" w:cs="Times New Roman"/>
          <w:kern w:val="0"/>
          <w:sz w:val="24"/>
          <w:szCs w:val="24"/>
          <w:lang w:eastAsia="lt-LT"/>
          <w14:ligatures w14:val="none"/>
        </w:rPr>
        <w:t xml:space="preserve">– </w:t>
      </w:r>
      <w:r w:rsidR="008925DF" w:rsidRPr="008925DF">
        <w:rPr>
          <w:rFonts w:ascii="Times New Roman" w:eastAsia="Times New Roman" w:hAnsi="Times New Roman" w:cs="Times New Roman"/>
          <w:kern w:val="0"/>
          <w:sz w:val="24"/>
          <w:szCs w:val="24"/>
          <w:lang w:eastAsia="lt-LT"/>
          <w14:ligatures w14:val="none"/>
        </w:rPr>
        <w:t>psichoaktyv</w:t>
      </w:r>
      <w:r w:rsidR="008925DF">
        <w:rPr>
          <w:rFonts w:ascii="Times New Roman" w:eastAsia="Times New Roman" w:hAnsi="Times New Roman" w:cs="Times New Roman"/>
          <w:kern w:val="0"/>
          <w:sz w:val="24"/>
          <w:szCs w:val="24"/>
          <w:lang w:eastAsia="lt-LT"/>
          <w14:ligatures w14:val="none"/>
        </w:rPr>
        <w:t>ų poveikį sukeliančios medžiagos)</w:t>
      </w:r>
      <w:r w:rsidRPr="002A2DCC">
        <w:rPr>
          <w:rFonts w:ascii="Times New Roman" w:eastAsia="Times New Roman" w:hAnsi="Times New Roman" w:cs="Times New Roman"/>
          <w:kern w:val="0"/>
          <w:sz w:val="24"/>
          <w:szCs w:val="24"/>
          <w:lang w:eastAsia="lt-LT"/>
          <w14:ligatures w14:val="none"/>
        </w:rPr>
        <w:t>.</w:t>
      </w:r>
    </w:p>
    <w:p w14:paraId="3E7E7996" w14:textId="77777777"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Teismas pritarė NTAKD išvadai, kad gaminių ženklinimas buvo klaidinantis – ant pakuočių jie buvo pristatomi kaip „kanapių žiedų arbata“, nurodant paruošimo instrukciją „Pakelio turinį užplikyti 200 ml vandens“, nors realiai gaminiai buvo skirti rūkyti.</w:t>
      </w:r>
    </w:p>
    <w:p w14:paraId="150B4EF4" w14:textId="54DDCF2B"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Nustatyta, kad UAB „</w:t>
      </w:r>
      <w:proofErr w:type="spellStart"/>
      <w:r w:rsidRPr="002A2DCC">
        <w:rPr>
          <w:rFonts w:ascii="Times New Roman" w:eastAsia="Times New Roman" w:hAnsi="Times New Roman" w:cs="Times New Roman"/>
          <w:kern w:val="0"/>
          <w:sz w:val="24"/>
          <w:szCs w:val="24"/>
          <w:lang w:eastAsia="lt-LT"/>
          <w14:ligatures w14:val="none"/>
        </w:rPr>
        <w:t>Biotecus</w:t>
      </w:r>
      <w:proofErr w:type="spellEnd"/>
      <w:r w:rsidRPr="002A2DCC">
        <w:rPr>
          <w:rFonts w:ascii="Times New Roman" w:eastAsia="Times New Roman" w:hAnsi="Times New Roman" w:cs="Times New Roman"/>
          <w:kern w:val="0"/>
          <w:sz w:val="24"/>
          <w:szCs w:val="24"/>
          <w:lang w:eastAsia="lt-LT"/>
          <w14:ligatures w14:val="none"/>
        </w:rPr>
        <w:t xml:space="preserve">“ pažeidė tiek Pluoštinių kanapių įstatymo, tiek Tabako, tabako gaminių ir su jais susijusių gaminių kontrolės įstatymo nuostatas. </w:t>
      </w:r>
      <w:r w:rsidR="008925DF">
        <w:rPr>
          <w:rFonts w:ascii="Times New Roman" w:eastAsia="Times New Roman" w:hAnsi="Times New Roman" w:cs="Times New Roman"/>
          <w:kern w:val="0"/>
          <w:sz w:val="24"/>
          <w:szCs w:val="24"/>
          <w:lang w:eastAsia="lt-LT"/>
          <w14:ligatures w14:val="none"/>
        </w:rPr>
        <w:t>Įmonė</w:t>
      </w:r>
      <w:r w:rsidRPr="002A2DCC">
        <w:rPr>
          <w:rFonts w:ascii="Times New Roman" w:eastAsia="Times New Roman" w:hAnsi="Times New Roman" w:cs="Times New Roman"/>
          <w:kern w:val="0"/>
          <w:sz w:val="24"/>
          <w:szCs w:val="24"/>
          <w:lang w:eastAsia="lt-LT"/>
          <w14:ligatures w14:val="none"/>
        </w:rPr>
        <w:t xml:space="preserve"> neturėjo licencijos verstis su tabako gaminiais susijusių gaminių prekyba, ant pakuočių nebuvo privalomų sveikatos įspėjimų, o apie gaminius nebuvo pateikta informacija NTAKD nustatyta tvarka.</w:t>
      </w:r>
    </w:p>
    <w:p w14:paraId="6DE0A9D9" w14:textId="0C2D05A8"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 xml:space="preserve">Teismas taip pat atmetė </w:t>
      </w:r>
      <w:r w:rsidR="008925DF">
        <w:rPr>
          <w:rFonts w:ascii="Times New Roman" w:eastAsia="Times New Roman" w:hAnsi="Times New Roman" w:cs="Times New Roman"/>
          <w:kern w:val="0"/>
          <w:sz w:val="24"/>
          <w:szCs w:val="24"/>
          <w:lang w:eastAsia="lt-LT"/>
          <w14:ligatures w14:val="none"/>
        </w:rPr>
        <w:t>Įmonės</w:t>
      </w:r>
      <w:r w:rsidRPr="002A2DCC">
        <w:rPr>
          <w:rFonts w:ascii="Times New Roman" w:eastAsia="Times New Roman" w:hAnsi="Times New Roman" w:cs="Times New Roman"/>
          <w:kern w:val="0"/>
          <w:sz w:val="24"/>
          <w:szCs w:val="24"/>
          <w:lang w:eastAsia="lt-LT"/>
          <w14:ligatures w14:val="none"/>
        </w:rPr>
        <w:t xml:space="preserve"> argumentą, kad ji buvo nubausta du kartus už tą pačią veiką. Sprendime pažymėta, kad sankcijos skirtos už skirtingų teisės aktų pažeidimus, todėl draudimo bausti du kartus už tą patį pažeidimą principas nebuvo pažeistas.</w:t>
      </w:r>
    </w:p>
    <w:p w14:paraId="5EE0E769" w14:textId="77777777"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UAB „</w:t>
      </w:r>
      <w:proofErr w:type="spellStart"/>
      <w:r w:rsidRPr="002A2DCC">
        <w:rPr>
          <w:rFonts w:ascii="Times New Roman" w:eastAsia="Times New Roman" w:hAnsi="Times New Roman" w:cs="Times New Roman"/>
          <w:kern w:val="0"/>
          <w:sz w:val="24"/>
          <w:szCs w:val="24"/>
          <w:lang w:eastAsia="lt-LT"/>
          <w14:ligatures w14:val="none"/>
        </w:rPr>
        <w:t>Biotecus</w:t>
      </w:r>
      <w:proofErr w:type="spellEnd"/>
      <w:r w:rsidRPr="002A2DCC">
        <w:rPr>
          <w:rFonts w:ascii="Times New Roman" w:eastAsia="Times New Roman" w:hAnsi="Times New Roman" w:cs="Times New Roman"/>
          <w:kern w:val="0"/>
          <w:sz w:val="24"/>
          <w:szCs w:val="24"/>
          <w:lang w:eastAsia="lt-LT"/>
          <w14:ligatures w14:val="none"/>
        </w:rPr>
        <w:t>“ buvo skirtos dvi baudos:</w:t>
      </w:r>
    </w:p>
    <w:p w14:paraId="751A9177" w14:textId="77777777" w:rsidR="002A2DCC" w:rsidRPr="002A2DCC" w:rsidRDefault="002A2DCC" w:rsidP="002A2DCC">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 xml:space="preserve">750 eurų bauda už Pluoštinių kanapių įstatymo pažeidimus; </w:t>
      </w:r>
    </w:p>
    <w:p w14:paraId="174B78C5" w14:textId="77777777" w:rsidR="002A2DCC" w:rsidRPr="00810B3A" w:rsidRDefault="002A2DCC" w:rsidP="002A2DCC">
      <w:pPr>
        <w:numPr>
          <w:ilvl w:val="0"/>
          <w:numId w:val="1"/>
        </w:num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 xml:space="preserve">2 896 eurų bauda už Tabako kontrolės įstatymo pažeidimus. </w:t>
      </w:r>
    </w:p>
    <w:p w14:paraId="2920FE12" w14:textId="77777777" w:rsidR="002A2DCC" w:rsidRPr="00810B3A"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2A2DCC">
        <w:rPr>
          <w:rFonts w:ascii="Times New Roman" w:eastAsia="Times New Roman" w:hAnsi="Times New Roman" w:cs="Times New Roman"/>
          <w:kern w:val="0"/>
          <w:sz w:val="24"/>
          <w:szCs w:val="24"/>
          <w:lang w:eastAsia="lt-LT"/>
          <w14:ligatures w14:val="none"/>
        </w:rPr>
        <w:t>Teismas nusprendė, kad skirtos sankcijos yra proporcingos ir pagrįstos, o mažinti jų dydžio nėra pagrindo.</w:t>
      </w:r>
    </w:p>
    <w:p w14:paraId="1C1FD0D7" w14:textId="6D07DD95" w:rsidR="002A2DCC" w:rsidRPr="002A2DCC" w:rsidRDefault="002A2DCC" w:rsidP="002A2DCC">
      <w:pPr>
        <w:spacing w:before="100" w:beforeAutospacing="1" w:after="100" w:afterAutospacing="1" w:line="240" w:lineRule="auto"/>
        <w:jc w:val="both"/>
        <w:rPr>
          <w:rFonts w:ascii="Times New Roman" w:eastAsia="Times New Roman" w:hAnsi="Times New Roman" w:cs="Times New Roman"/>
          <w:kern w:val="0"/>
          <w:sz w:val="24"/>
          <w:szCs w:val="24"/>
          <w:lang w:eastAsia="lt-LT"/>
          <w14:ligatures w14:val="none"/>
        </w:rPr>
      </w:pPr>
      <w:r w:rsidRPr="00810B3A">
        <w:rPr>
          <w:rFonts w:ascii="Times New Roman" w:eastAsia="Times New Roman" w:hAnsi="Times New Roman" w:cs="Times New Roman"/>
          <w:kern w:val="0"/>
          <w:sz w:val="24"/>
          <w:szCs w:val="24"/>
          <w:lang w:eastAsia="lt-LT"/>
          <w14:ligatures w14:val="none"/>
        </w:rPr>
        <w:t xml:space="preserve"> „Raginame verslą sąžiningai laikytis įstatymų, nes esame ir būsime principingi, o sistemingi ir sąmoningi teisės pažeidimai nebus toleruojami, o juos pažeidžiantys ūkio subjektai neišvengiamai susidurs su teisinėmis pasekmėmis“, – sako Darius Sadaunykas, NTAKD Tabako ir alkoholio kontrolės skyriaus vedėjas.</w:t>
      </w:r>
    </w:p>
    <w:p w14:paraId="2E38F759" w14:textId="61CC9CF4" w:rsidR="00D7343D" w:rsidRPr="00810B3A" w:rsidRDefault="002A2DCC" w:rsidP="002A2DCC">
      <w:pPr>
        <w:spacing w:before="100" w:beforeAutospacing="1" w:after="100" w:afterAutospacing="1" w:line="240" w:lineRule="auto"/>
        <w:jc w:val="both"/>
        <w:rPr>
          <w:sz w:val="24"/>
          <w:szCs w:val="24"/>
        </w:rPr>
      </w:pPr>
      <w:r w:rsidRPr="002A2DCC">
        <w:rPr>
          <w:rFonts w:ascii="Times New Roman" w:eastAsia="Times New Roman" w:hAnsi="Times New Roman" w:cs="Times New Roman"/>
          <w:kern w:val="0"/>
          <w:sz w:val="24"/>
          <w:szCs w:val="24"/>
          <w:lang w:eastAsia="lt-LT"/>
          <w14:ligatures w14:val="none"/>
        </w:rPr>
        <w:t>Sprendimas per 30 kalendorinių dienų gali būti skundžiamas Lietuvos vyriausiajam administraciniam teismui.</w:t>
      </w:r>
    </w:p>
    <w:sectPr w:rsidR="00D7343D" w:rsidRPr="00810B3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6900A5"/>
    <w:multiLevelType w:val="multilevel"/>
    <w:tmpl w:val="B57C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3314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DCC"/>
    <w:rsid w:val="00003062"/>
    <w:rsid w:val="002A2DCC"/>
    <w:rsid w:val="00590313"/>
    <w:rsid w:val="006771C6"/>
    <w:rsid w:val="00810B3A"/>
    <w:rsid w:val="00817584"/>
    <w:rsid w:val="008925DF"/>
    <w:rsid w:val="00981352"/>
    <w:rsid w:val="00CA5961"/>
    <w:rsid w:val="00D734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A2DBA"/>
  <w15:chartTrackingRefBased/>
  <w15:docId w15:val="{659EC8CC-601B-420F-A1DD-FE3C4CF8E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A2D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2D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2D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2D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2D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2DC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2DC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2DC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2DC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2D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2D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2D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2D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2D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2D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2D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2D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2D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2D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2D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2D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2D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2D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2DCC"/>
    <w:rPr>
      <w:i/>
      <w:iCs/>
      <w:color w:val="404040" w:themeColor="text1" w:themeTint="BF"/>
    </w:rPr>
  </w:style>
  <w:style w:type="paragraph" w:styleId="Sraopastraipa">
    <w:name w:val="List Paragraph"/>
    <w:basedOn w:val="prastasis"/>
    <w:uiPriority w:val="34"/>
    <w:qFormat/>
    <w:rsid w:val="002A2DCC"/>
    <w:pPr>
      <w:ind w:left="720"/>
      <w:contextualSpacing/>
    </w:pPr>
  </w:style>
  <w:style w:type="character" w:styleId="Rykuspabraukimas">
    <w:name w:val="Intense Emphasis"/>
    <w:basedOn w:val="Numatytasispastraiposriftas"/>
    <w:uiPriority w:val="21"/>
    <w:qFormat/>
    <w:rsid w:val="002A2DCC"/>
    <w:rPr>
      <w:i/>
      <w:iCs/>
      <w:color w:val="0F4761" w:themeColor="accent1" w:themeShade="BF"/>
    </w:rPr>
  </w:style>
  <w:style w:type="paragraph" w:styleId="Iskirtacitata">
    <w:name w:val="Intense Quote"/>
    <w:basedOn w:val="prastasis"/>
    <w:next w:val="prastasis"/>
    <w:link w:val="IskirtacitataDiagrama"/>
    <w:uiPriority w:val="30"/>
    <w:qFormat/>
    <w:rsid w:val="002A2D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2DCC"/>
    <w:rPr>
      <w:i/>
      <w:iCs/>
      <w:color w:val="0F4761" w:themeColor="accent1" w:themeShade="BF"/>
    </w:rPr>
  </w:style>
  <w:style w:type="character" w:styleId="Rykinuoroda">
    <w:name w:val="Intense Reference"/>
    <w:basedOn w:val="Numatytasispastraiposriftas"/>
    <w:uiPriority w:val="32"/>
    <w:qFormat/>
    <w:rsid w:val="002A2DCC"/>
    <w:rPr>
      <w:b/>
      <w:bCs/>
      <w:smallCaps/>
      <w:color w:val="0F4761" w:themeColor="accent1" w:themeShade="BF"/>
      <w:spacing w:val="5"/>
    </w:rPr>
  </w:style>
  <w:style w:type="paragraph" w:styleId="Pataisymai">
    <w:name w:val="Revision"/>
    <w:hidden/>
    <w:uiPriority w:val="99"/>
    <w:semiHidden/>
    <w:rsid w:val="008925DF"/>
    <w:pPr>
      <w:spacing w:after="0" w:line="240" w:lineRule="auto"/>
    </w:pPr>
  </w:style>
  <w:style w:type="character" w:styleId="Hipersaitas">
    <w:name w:val="Hyperlink"/>
    <w:basedOn w:val="Numatytasispastraiposriftas"/>
    <w:uiPriority w:val="99"/>
    <w:unhideWhenUsed/>
    <w:rsid w:val="008925DF"/>
    <w:rPr>
      <w:color w:val="467886" w:themeColor="hyperlink"/>
      <w:u w:val="single"/>
    </w:rPr>
  </w:style>
  <w:style w:type="character" w:styleId="Neapdorotaspaminjimas">
    <w:name w:val="Unresolved Mention"/>
    <w:basedOn w:val="Numatytasispastraiposriftas"/>
    <w:uiPriority w:val="99"/>
    <w:semiHidden/>
    <w:unhideWhenUsed/>
    <w:rsid w:val="00892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1729</Words>
  <Characters>987</Characters>
  <Application>Microsoft Office Word</Application>
  <DocSecurity>0</DocSecurity>
  <Lines>8</Lines>
  <Paragraphs>5</Paragraphs>
  <ScaleCrop>false</ScaleCrop>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komunikacija</dc:creator>
  <cp:keywords/>
  <dc:description/>
  <cp:lastModifiedBy>komunikacija</cp:lastModifiedBy>
  <cp:revision>3</cp:revision>
  <dcterms:created xsi:type="dcterms:W3CDTF">2026-05-19T12:18:00Z</dcterms:created>
  <dcterms:modified xsi:type="dcterms:W3CDTF">2026-05-19T12:19:00Z</dcterms:modified>
</cp:coreProperties>
</file>