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5E0C7B" w:rsidRDefault="00000000" w:rsidP="002A6221">
      <w:pPr>
        <w:spacing w:after="160"/>
        <w:jc w:val="center"/>
        <w:rPr>
          <w:rFonts w:ascii="Calibri" w:eastAsia="Calibri" w:hAnsi="Calibri" w:cs="Calibri"/>
          <w:b/>
          <w:bCs/>
          <w:sz w:val="28"/>
          <w:szCs w:val="28"/>
        </w:rPr>
      </w:pPr>
      <w:r>
        <w:rPr>
          <w:rFonts w:ascii="Calibri" w:eastAsia="Calibri" w:hAnsi="Calibri" w:cs="Calibri"/>
          <w:b/>
          <w:bCs/>
          <w:sz w:val="28"/>
          <w:szCs w:val="28"/>
        </w:rPr>
        <w:t>Lietuva – tarp aktyviausių sutelktinio finansavimo rinkų ES: lietuviška NT finansavimo platforma perkopė 100 mln. eurų ribą</w:t>
      </w:r>
    </w:p>
    <w:p w14:paraId="00000002" w14:textId="77777777" w:rsidR="005E0C7B" w:rsidRDefault="00000000">
      <w:pPr>
        <w:spacing w:after="160"/>
        <w:jc w:val="both"/>
        <w:rPr>
          <w:rFonts w:ascii="Calibri" w:eastAsia="Calibri" w:hAnsi="Calibri" w:cs="Calibri"/>
          <w:b/>
          <w:bCs/>
          <w:sz w:val="24"/>
          <w:szCs w:val="24"/>
        </w:rPr>
      </w:pPr>
      <w:r>
        <w:rPr>
          <w:rFonts w:ascii="Calibri" w:eastAsia="Calibri" w:hAnsi="Calibri" w:cs="Calibri"/>
          <w:b/>
          <w:bCs/>
          <w:sz w:val="24"/>
          <w:szCs w:val="24"/>
        </w:rPr>
        <w:t xml:space="preserve">Lietuvos sutelktinio finansavimo rinka augo nebe </w:t>
      </w:r>
      <w:proofErr w:type="spellStart"/>
      <w:r>
        <w:rPr>
          <w:rFonts w:ascii="Calibri" w:eastAsia="Calibri" w:hAnsi="Calibri" w:cs="Calibri"/>
          <w:b/>
          <w:bCs/>
          <w:sz w:val="24"/>
          <w:szCs w:val="24"/>
        </w:rPr>
        <w:t>startuolišku</w:t>
      </w:r>
      <w:proofErr w:type="spellEnd"/>
      <w:r>
        <w:rPr>
          <w:rFonts w:ascii="Calibri" w:eastAsia="Calibri" w:hAnsi="Calibri" w:cs="Calibri"/>
          <w:b/>
          <w:bCs/>
          <w:sz w:val="24"/>
          <w:szCs w:val="24"/>
        </w:rPr>
        <w:t>, o viso finansų sektoriaus mastu reikšmingu tempu: praėjusiais metais per šalies sutelktinio finansavimo paslaugų teikėjus finansuota 379,4 mln. eurų – trečdaliu (36,3 proc.) daugiau nei 2024 m., rodo Lietuvos banko duomenys. Augo ir projektų skaičius: pernai jis siekė beveik 3 tūkst. ir buvo daugiau nei dešimtadaliu didesnis nei metais anksčiau.</w:t>
      </w:r>
    </w:p>
    <w:p w14:paraId="00000003" w14:textId="77777777" w:rsidR="005E0C7B" w:rsidRDefault="00000000">
      <w:pPr>
        <w:spacing w:after="160"/>
        <w:jc w:val="both"/>
        <w:rPr>
          <w:rFonts w:ascii="Calibri" w:eastAsia="Calibri" w:hAnsi="Calibri" w:cs="Calibri"/>
          <w:sz w:val="24"/>
          <w:szCs w:val="24"/>
        </w:rPr>
      </w:pPr>
      <w:r>
        <w:rPr>
          <w:rFonts w:ascii="Calibri" w:eastAsia="Calibri" w:hAnsi="Calibri" w:cs="Calibri"/>
          <w:sz w:val="24"/>
          <w:szCs w:val="24"/>
        </w:rPr>
        <w:t>Lietuva vis ryškiau matoma ir Europos kontekste – šalis patenka tarp penkių didžiausių ES sutelktinio finansavimo rinkų pagal per platformas pritrauktą kapitalą, rodo Europos vertybinių popierių ir rinkų institucijos ESMA 2025 m. apžvalga, paremta 2024 m. duomenimis. Daugiau kapitalo per sutelktinio finansavimo platformas pritraukė tik Prancūzija, Nyderlandai, Ispanija ir Italija.</w:t>
      </w:r>
    </w:p>
    <w:p w14:paraId="00000004" w14:textId="77777777" w:rsidR="005E0C7B" w:rsidRDefault="00000000">
      <w:pPr>
        <w:spacing w:after="160"/>
        <w:jc w:val="both"/>
        <w:rPr>
          <w:rFonts w:ascii="Calibri" w:eastAsia="Calibri" w:hAnsi="Calibri" w:cs="Calibri"/>
          <w:sz w:val="24"/>
          <w:szCs w:val="24"/>
        </w:rPr>
      </w:pPr>
      <w:r>
        <w:rPr>
          <w:rFonts w:ascii="Calibri" w:eastAsia="Calibri" w:hAnsi="Calibri" w:cs="Calibri"/>
          <w:sz w:val="24"/>
          <w:szCs w:val="24"/>
        </w:rPr>
        <w:t>„Lietuvoje sutelktinis finansavimas jau nebėra tik papildomas finansavimo kanalas pavieniams projektams. Rinka auga, tampa labiau reguliuojama, investuotojams aiškesnė, o dalis platformų jau dirba ne vien Lietuvos mastu. Nekilnojamojo turto projektų finansavime tai reiškia dvi kryptis: vystytojams atsiranda lankstesnis kapitalo šaltinis greta bankinio finansavimo, o investuotojams – galimybė investuoti į NT projektus neperkant paties turto įvairiose Europos šalyse“, – sako investavimo į nekilnojamojo turto projektus platformos „</w:t>
      </w:r>
      <w:proofErr w:type="spellStart"/>
      <w:r>
        <w:rPr>
          <w:rFonts w:ascii="Calibri" w:eastAsia="Calibri" w:hAnsi="Calibri" w:cs="Calibri"/>
          <w:sz w:val="24"/>
          <w:szCs w:val="24"/>
        </w:rPr>
        <w:t>InRento</w:t>
      </w:r>
      <w:proofErr w:type="spellEnd"/>
      <w:r>
        <w:rPr>
          <w:rFonts w:ascii="Calibri" w:eastAsia="Calibri" w:hAnsi="Calibri" w:cs="Calibri"/>
          <w:sz w:val="24"/>
          <w:szCs w:val="24"/>
        </w:rPr>
        <w:t xml:space="preserve">“ įkūrėjas Gustas </w:t>
      </w:r>
      <w:proofErr w:type="spellStart"/>
      <w:r>
        <w:rPr>
          <w:rFonts w:ascii="Calibri" w:eastAsia="Calibri" w:hAnsi="Calibri" w:cs="Calibri"/>
          <w:sz w:val="24"/>
          <w:szCs w:val="24"/>
        </w:rPr>
        <w:t>Germanavičius</w:t>
      </w:r>
      <w:proofErr w:type="spellEnd"/>
      <w:r>
        <w:rPr>
          <w:rFonts w:ascii="Calibri" w:eastAsia="Calibri" w:hAnsi="Calibri" w:cs="Calibri"/>
          <w:sz w:val="24"/>
          <w:szCs w:val="24"/>
        </w:rPr>
        <w:t>.</w:t>
      </w:r>
    </w:p>
    <w:p w14:paraId="00000005" w14:textId="77777777" w:rsidR="005E0C7B" w:rsidRDefault="00000000">
      <w:pPr>
        <w:spacing w:after="160"/>
        <w:jc w:val="both"/>
        <w:rPr>
          <w:rFonts w:ascii="Calibri" w:eastAsia="Calibri" w:hAnsi="Calibri" w:cs="Calibri"/>
          <w:sz w:val="24"/>
          <w:szCs w:val="24"/>
        </w:rPr>
      </w:pPr>
      <w:r>
        <w:rPr>
          <w:rFonts w:ascii="Calibri" w:eastAsia="Calibri" w:hAnsi="Calibri" w:cs="Calibri"/>
          <w:sz w:val="24"/>
          <w:szCs w:val="24"/>
        </w:rPr>
        <w:t>Rinkos kontekste sparčiausią augimo etapą savo istorijoje fiksuoja ir „</w:t>
      </w:r>
      <w:proofErr w:type="spellStart"/>
      <w:r>
        <w:rPr>
          <w:rFonts w:ascii="Calibri" w:eastAsia="Calibri" w:hAnsi="Calibri" w:cs="Calibri"/>
          <w:sz w:val="24"/>
          <w:szCs w:val="24"/>
        </w:rPr>
        <w:t>InRento</w:t>
      </w:r>
      <w:proofErr w:type="spellEnd"/>
      <w:r>
        <w:rPr>
          <w:rFonts w:ascii="Calibri" w:eastAsia="Calibri" w:hAnsi="Calibri" w:cs="Calibri"/>
          <w:sz w:val="24"/>
          <w:szCs w:val="24"/>
        </w:rPr>
        <w:t>“. Platforma neseniai perkopė 100 mln. eurų investicijų ribą: pirmajam 50 mln. eurų etapui prireikė daugiau nei penkerių metų, o dar tiek pat per platformą finansuotų projektų pritraukta greičiau nei per metus.</w:t>
      </w:r>
    </w:p>
    <w:p w14:paraId="00000006" w14:textId="77777777" w:rsidR="005E0C7B" w:rsidRDefault="00000000">
      <w:pPr>
        <w:spacing w:after="160"/>
        <w:jc w:val="both"/>
        <w:rPr>
          <w:rFonts w:ascii="Calibri" w:eastAsia="Calibri" w:hAnsi="Calibri" w:cs="Calibri"/>
          <w:b/>
          <w:bCs/>
          <w:sz w:val="24"/>
          <w:szCs w:val="24"/>
        </w:rPr>
      </w:pPr>
      <w:r>
        <w:rPr>
          <w:rFonts w:ascii="Calibri" w:eastAsia="Calibri" w:hAnsi="Calibri" w:cs="Calibri"/>
          <w:b/>
          <w:bCs/>
          <w:sz w:val="24"/>
          <w:szCs w:val="24"/>
        </w:rPr>
        <w:t>Augimą lėmė platesnė geografija</w:t>
      </w:r>
    </w:p>
    <w:p w14:paraId="00000007" w14:textId="77777777" w:rsidR="005E0C7B" w:rsidRDefault="00000000">
      <w:pPr>
        <w:spacing w:after="160"/>
        <w:jc w:val="both"/>
        <w:rPr>
          <w:rFonts w:ascii="Calibri" w:eastAsia="Calibri" w:hAnsi="Calibri" w:cs="Calibri"/>
          <w:sz w:val="24"/>
          <w:szCs w:val="24"/>
        </w:rPr>
      </w:pPr>
      <w:r>
        <w:rPr>
          <w:rFonts w:ascii="Calibri" w:eastAsia="Calibri" w:hAnsi="Calibri" w:cs="Calibri"/>
          <w:sz w:val="24"/>
          <w:szCs w:val="24"/>
        </w:rPr>
        <w:t>Vienas svarbiausių tokio augimo veiksnių – nuosekli plėtra už Lietuvos ribų. Šiuo metu „</w:t>
      </w:r>
      <w:proofErr w:type="spellStart"/>
      <w:r>
        <w:rPr>
          <w:rFonts w:ascii="Calibri" w:eastAsia="Calibri" w:hAnsi="Calibri" w:cs="Calibri"/>
          <w:sz w:val="24"/>
          <w:szCs w:val="24"/>
        </w:rPr>
        <w:t>InRento</w:t>
      </w:r>
      <w:proofErr w:type="spellEnd"/>
      <w:r>
        <w:rPr>
          <w:rFonts w:ascii="Calibri" w:eastAsia="Calibri" w:hAnsi="Calibri" w:cs="Calibri"/>
          <w:sz w:val="24"/>
          <w:szCs w:val="24"/>
        </w:rPr>
        <w:t>“ veikia aštuoniose Europos rinkose, todėl investuotojai gali rinktis iš daugiau skirtingų šalių, turto tipų ir projektų, o platesnė pasiūla savo ruožtu didina ir pačių investuotojų aktyvumą.</w:t>
      </w:r>
    </w:p>
    <w:p w14:paraId="00000008" w14:textId="77777777" w:rsidR="005E0C7B" w:rsidRDefault="00000000">
      <w:pPr>
        <w:spacing w:after="160"/>
        <w:jc w:val="both"/>
        <w:rPr>
          <w:rFonts w:ascii="Calibri" w:eastAsia="Calibri" w:hAnsi="Calibri" w:cs="Calibri"/>
          <w:sz w:val="24"/>
          <w:szCs w:val="24"/>
        </w:rPr>
      </w:pPr>
      <w:r>
        <w:rPr>
          <w:rFonts w:ascii="Calibri" w:eastAsia="Calibri" w:hAnsi="Calibri" w:cs="Calibri"/>
          <w:sz w:val="24"/>
          <w:szCs w:val="24"/>
        </w:rPr>
        <w:t>„Geografinė plėtra mums buvo vienas svarbiausių augimo veiksnių, nes ji tiesiogiai didina pasirinkimą investuotojams. Matome, kad vis daugiau jų nebenori apsiriboti viena rinka – jiems svarbu portfelį geografiškai diversifikuoti. Kartu augimą stiprino ir didesnis investuotojų aktyvumas bei platesnė projektų pasiūla, todėl plėtra Europoje mums buvo ne tik masto, bet ir pasiūlos kokybės klausimas“, – teigia „</w:t>
      </w:r>
      <w:proofErr w:type="spellStart"/>
      <w:r>
        <w:rPr>
          <w:rFonts w:ascii="Calibri" w:eastAsia="Calibri" w:hAnsi="Calibri" w:cs="Calibri"/>
          <w:sz w:val="24"/>
          <w:szCs w:val="24"/>
        </w:rPr>
        <w:t>InRento</w:t>
      </w:r>
      <w:proofErr w:type="spellEnd"/>
      <w:r>
        <w:rPr>
          <w:rFonts w:ascii="Calibri" w:eastAsia="Calibri" w:hAnsi="Calibri" w:cs="Calibri"/>
          <w:sz w:val="24"/>
          <w:szCs w:val="24"/>
        </w:rPr>
        <w:t>“ įkūrėjas.</w:t>
      </w:r>
    </w:p>
    <w:p w14:paraId="00000009" w14:textId="77777777" w:rsidR="005E0C7B" w:rsidRDefault="00000000">
      <w:pPr>
        <w:spacing w:after="160"/>
        <w:jc w:val="both"/>
        <w:rPr>
          <w:rFonts w:ascii="Calibri" w:eastAsia="Calibri" w:hAnsi="Calibri" w:cs="Calibri"/>
          <w:b/>
          <w:bCs/>
          <w:sz w:val="24"/>
          <w:szCs w:val="24"/>
        </w:rPr>
      </w:pPr>
      <w:r>
        <w:rPr>
          <w:rFonts w:ascii="Calibri" w:eastAsia="Calibri" w:hAnsi="Calibri" w:cs="Calibri"/>
          <w:b/>
          <w:bCs/>
          <w:sz w:val="24"/>
          <w:szCs w:val="24"/>
        </w:rPr>
        <w:t>Portfelio kokybės svarba</w:t>
      </w:r>
    </w:p>
    <w:p w14:paraId="0000000A" w14:textId="77777777" w:rsidR="005E0C7B" w:rsidRDefault="00000000">
      <w:pPr>
        <w:spacing w:after="160"/>
        <w:jc w:val="both"/>
        <w:rPr>
          <w:rFonts w:ascii="Calibri" w:eastAsia="Calibri" w:hAnsi="Calibri" w:cs="Calibri"/>
          <w:sz w:val="24"/>
          <w:szCs w:val="24"/>
        </w:rPr>
      </w:pPr>
      <w:r>
        <w:rPr>
          <w:rFonts w:ascii="Calibri" w:eastAsia="Calibri" w:hAnsi="Calibri" w:cs="Calibri"/>
          <w:sz w:val="24"/>
          <w:szCs w:val="24"/>
        </w:rPr>
        <w:lastRenderedPageBreak/>
        <w:t xml:space="preserve">Tačiau, anot G. </w:t>
      </w:r>
      <w:proofErr w:type="spellStart"/>
      <w:r>
        <w:rPr>
          <w:rFonts w:ascii="Calibri" w:eastAsia="Calibri" w:hAnsi="Calibri" w:cs="Calibri"/>
          <w:sz w:val="24"/>
          <w:szCs w:val="24"/>
        </w:rPr>
        <w:t>Germanavičiaus</w:t>
      </w:r>
      <w:proofErr w:type="spellEnd"/>
      <w:r>
        <w:rPr>
          <w:rFonts w:ascii="Calibri" w:eastAsia="Calibri" w:hAnsi="Calibri" w:cs="Calibri"/>
          <w:sz w:val="24"/>
          <w:szCs w:val="24"/>
        </w:rPr>
        <w:t>, auganti sutelktinio finansavimo rinka vertinama ne vien pagal pritrauktų investicijų dydį. Ne mažiau svarbu, kaip platformoms sekasi užbaigti finansuotus projektus, grąžinti kapitalą investuotojams ir išlaikyti portfelio kokybę.</w:t>
      </w:r>
    </w:p>
    <w:p w14:paraId="0000000B" w14:textId="77777777" w:rsidR="005E0C7B" w:rsidRDefault="00000000">
      <w:pPr>
        <w:spacing w:after="160"/>
        <w:jc w:val="both"/>
        <w:rPr>
          <w:rFonts w:ascii="Calibri" w:eastAsia="Calibri" w:hAnsi="Calibri" w:cs="Calibri"/>
          <w:sz w:val="24"/>
          <w:szCs w:val="24"/>
        </w:rPr>
      </w:pPr>
      <w:r>
        <w:rPr>
          <w:rFonts w:ascii="Calibri" w:eastAsia="Calibri" w:hAnsi="Calibri" w:cs="Calibri"/>
          <w:sz w:val="24"/>
          <w:szCs w:val="24"/>
        </w:rPr>
        <w:t>Iki šiol „</w:t>
      </w:r>
      <w:proofErr w:type="spellStart"/>
      <w:r>
        <w:rPr>
          <w:rFonts w:ascii="Calibri" w:eastAsia="Calibri" w:hAnsi="Calibri" w:cs="Calibri"/>
          <w:sz w:val="24"/>
          <w:szCs w:val="24"/>
        </w:rPr>
        <w:t>InRento</w:t>
      </w:r>
      <w:proofErr w:type="spellEnd"/>
      <w:r>
        <w:rPr>
          <w:rFonts w:ascii="Calibri" w:eastAsia="Calibri" w:hAnsi="Calibri" w:cs="Calibri"/>
          <w:sz w:val="24"/>
          <w:szCs w:val="24"/>
        </w:rPr>
        <w:t>“ investuotojams grąžino 30,13 mln. eurų kapitalo ir išmokėjo 9,37 mln. eurų investuotojų pelno. Vėluojančių paskolų, vėluojančių palūkanų, išieškomų sumų ir nevykdomų projektų rodikliai platformoje siekia 0 proc. Anksčiau nei planuota grąžinti 99 proc. realizuotų projektų, o vidutinė jų trukmė siekia 20 mėnesių.</w:t>
      </w:r>
    </w:p>
    <w:p w14:paraId="0000000C" w14:textId="77777777" w:rsidR="005E0C7B" w:rsidRDefault="00000000">
      <w:pPr>
        <w:spacing w:after="160"/>
        <w:jc w:val="both"/>
        <w:rPr>
          <w:rFonts w:ascii="Calibri" w:eastAsia="Calibri" w:hAnsi="Calibri" w:cs="Calibri"/>
          <w:sz w:val="24"/>
          <w:szCs w:val="24"/>
        </w:rPr>
      </w:pPr>
      <w:r>
        <w:rPr>
          <w:rFonts w:ascii="Calibri" w:eastAsia="Calibri" w:hAnsi="Calibri" w:cs="Calibri"/>
          <w:sz w:val="24"/>
          <w:szCs w:val="24"/>
        </w:rPr>
        <w:t xml:space="preserve">„Perkopus 100 mln. eurų investicijų ribą, mums svarbiausia išlaikyti tą pačią kokybės kartelę, kurios laikėmės nuo pat pradžių. Projektus vertiname ne pagal tai, ar juos galima greitai sufinansuoti, o pagal tai, ar aiškus kapitalo grąžinimo šaltinis, ar pakankamos užtikrinimo priemonės, ar projekto terminas ir rizikos atitinka investuotojams pristatomą grąžą. Būtent tokia disciplina leidžia augti neaukojant portfelio kokybės“, – sako G. </w:t>
      </w:r>
      <w:proofErr w:type="spellStart"/>
      <w:r>
        <w:rPr>
          <w:rFonts w:ascii="Calibri" w:eastAsia="Calibri" w:hAnsi="Calibri" w:cs="Calibri"/>
          <w:sz w:val="24"/>
          <w:szCs w:val="24"/>
        </w:rPr>
        <w:t>Germanavičius</w:t>
      </w:r>
      <w:proofErr w:type="spellEnd"/>
      <w:r>
        <w:rPr>
          <w:rFonts w:ascii="Calibri" w:eastAsia="Calibri" w:hAnsi="Calibri" w:cs="Calibri"/>
          <w:sz w:val="24"/>
          <w:szCs w:val="24"/>
        </w:rPr>
        <w:t>.</w:t>
      </w:r>
    </w:p>
    <w:p w14:paraId="0000000D" w14:textId="77777777" w:rsidR="005E0C7B" w:rsidRDefault="00000000">
      <w:pPr>
        <w:spacing w:after="160"/>
        <w:jc w:val="both"/>
        <w:rPr>
          <w:rFonts w:ascii="Calibri" w:eastAsia="Calibri" w:hAnsi="Calibri" w:cs="Calibri"/>
          <w:sz w:val="24"/>
          <w:szCs w:val="24"/>
        </w:rPr>
      </w:pPr>
      <w:r>
        <w:rPr>
          <w:rFonts w:ascii="Calibri" w:eastAsia="Calibri" w:hAnsi="Calibri" w:cs="Calibri"/>
          <w:sz w:val="24"/>
          <w:szCs w:val="24"/>
        </w:rPr>
        <w:t>Pasak jo, tolesniame sutelktinio finansavimo rinkos Lietuvoje etape vien pritrauktų sumų nebepakaks nei investuotojams, nei rinkos priežiūros institucijoms. Vis daugiau reikšmės turės tai, kaip platformos pagrindžia projektų atranką, kaip valdo riziką, kokią grąžinimų istoriją yra sukaupusios ir kiek skaidriai investuotojams parodo, iš ko bus grąžinamas kapitalas. Rinkai augant, būtent šie kriterijai turėtų vis labiau lemti, kurios platformos išlaikys investuotojų pasitikėjimą ilguoju laikotarpiu.</w:t>
      </w:r>
    </w:p>
    <w:p w14:paraId="0000000E" w14:textId="77777777" w:rsidR="005E0C7B" w:rsidRDefault="00000000">
      <w:pPr>
        <w:spacing w:after="160"/>
        <w:jc w:val="both"/>
        <w:rPr>
          <w:rFonts w:ascii="Calibri" w:eastAsia="Calibri" w:hAnsi="Calibri" w:cs="Calibri"/>
          <w:sz w:val="24"/>
          <w:szCs w:val="24"/>
        </w:rPr>
      </w:pPr>
      <w:r>
        <w:rPr>
          <w:rFonts w:ascii="Calibri" w:eastAsia="Calibri" w:hAnsi="Calibri" w:cs="Calibri"/>
          <w:sz w:val="24"/>
          <w:szCs w:val="24"/>
        </w:rPr>
        <w:t>Investavimas susijęs su rizika prarasti dalį ar visą investuotą sumą, todėl investicijas yra rekomenduotina diversifikuoti ir investuoti atsakingai.</w:t>
      </w:r>
    </w:p>
    <w:p w14:paraId="0000000F" w14:textId="77777777" w:rsidR="005E0C7B" w:rsidRDefault="005E0C7B">
      <w:pPr>
        <w:spacing w:after="160"/>
        <w:jc w:val="both"/>
        <w:rPr>
          <w:rFonts w:ascii="Calibri" w:eastAsia="Calibri" w:hAnsi="Calibri" w:cs="Calibri"/>
          <w:sz w:val="24"/>
          <w:szCs w:val="24"/>
        </w:rPr>
      </w:pPr>
    </w:p>
    <w:p w14:paraId="00000010" w14:textId="77777777" w:rsidR="005E0C7B" w:rsidRDefault="005E0C7B">
      <w:pPr>
        <w:spacing w:after="160"/>
        <w:jc w:val="both"/>
        <w:rPr>
          <w:rFonts w:ascii="Calibri" w:eastAsia="Calibri" w:hAnsi="Calibri" w:cs="Calibri"/>
          <w:sz w:val="24"/>
          <w:szCs w:val="24"/>
        </w:rPr>
      </w:pPr>
    </w:p>
    <w:p w14:paraId="0000001F" w14:textId="77C9F60D" w:rsidR="005E0C7B" w:rsidRDefault="005E0C7B">
      <w:pPr>
        <w:spacing w:after="160"/>
        <w:jc w:val="both"/>
        <w:rPr>
          <w:rFonts w:ascii="Calibri" w:eastAsia="Calibri" w:hAnsi="Calibri" w:cs="Calibri"/>
          <w:sz w:val="24"/>
          <w:szCs w:val="24"/>
        </w:rPr>
      </w:pPr>
    </w:p>
    <w:sectPr w:rsidR="005E0C7B">
      <w:pgSz w:w="11909" w:h="16834"/>
      <w:pgMar w:top="1440" w:right="1440" w:bottom="1440" w:left="1440" w:header="720" w:footer="720" w:gutter="0"/>
      <w:pgNumType w:start="1"/>
      <w:cols w:space="129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embedRegular r:id="rId1" w:fontKey="{215BBB9D-406D-4E77-8CD0-C2F7BA633EE7}"/>
    <w:embedBold r:id="rId2" w:fontKey="{32510CCC-8274-429E-83B7-87A64D519F84}"/>
  </w:font>
  <w:font w:name="Cambria">
    <w:panose1 w:val="02040503050406030204"/>
    <w:charset w:val="BA"/>
    <w:family w:val="roman"/>
    <w:pitch w:val="variable"/>
    <w:sig w:usb0="E00006FF" w:usb1="420024FF" w:usb2="02000000" w:usb3="00000000" w:csb0="0000019F" w:csb1="00000000"/>
    <w:embedRegular r:id="rId3" w:fontKey="{248A7569-0B4A-4D83-9037-4E370A5F7785}"/>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E0C7B"/>
    <w:rsid w:val="000A68B7"/>
    <w:rsid w:val="002A6221"/>
    <w:rsid w:val="00342E24"/>
    <w:rsid w:val="00452509"/>
    <w:rsid w:val="005E0C7B"/>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546A8C"/>
  <w15:docId w15:val="{B01BE0E6-CF71-4040-A3BA-28355EBAB4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lt" w:eastAsia="lt-LT"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5" Type="http://schemas.openxmlformats.org/officeDocument/2006/relationships/theme" Target="theme/theme1.xml"/><Relationship Id="rId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2</Pages>
  <Words>2712</Words>
  <Characters>1547</Characters>
  <Application>Microsoft Office Word</Application>
  <DocSecurity>0</DocSecurity>
  <Lines>12</Lines>
  <Paragraphs>8</Paragraphs>
  <ScaleCrop>false</ScaleCrop>
  <Company/>
  <LinksUpToDate>false</LinksUpToDate>
  <CharactersWithSpaces>4251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Gravitas Partners</cp:lastModifiedBy>
  <cp:revision>3</cp:revision>
  <dcterms:created xsi:type="dcterms:W3CDTF">2026-05-22T15:35:00Z</dcterms:created>
  <dcterms:modified xsi:type="dcterms:W3CDTF">2026-05-22T15:37:00Z</dcterms:modified>
</cp:coreProperties>
</file>