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Lietuvių kūrėjų animacinis serialas sulaukė tarptautinio pripažinimo</w:t>
      </w:r>
    </w:p>
    <w:p w14:paraId="1EDF5D24" w14:textId="77777777" w:rsidR="003A1962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Lietuvos kūrėjų animacinis </w:t>
      </w:r>
      <w:r>
        <w:rPr>
          <w:rFonts w:ascii="Calibri" w:eastAsia="Calibri" w:hAnsi="Calibri" w:cs="Calibri"/>
          <w:sz w:val="22"/>
          <w:szCs w:val="22"/>
        </w:rPr>
        <w:t>turinio projektas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ikimokyklinio amžiaus vaikams „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Rhinos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!“ per mažiau nei penkis mėnesius nuo pasirodymo „YouTube“ surinko 6 mln. peržiūrų, be to,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Europos, JAV, Kanados, Lotynų Amerikos ir kitų regionų vaizdo transliavimo platformose bus </w:t>
      </w:r>
      <w:r>
        <w:rPr>
          <w:rFonts w:ascii="Calibri" w:eastAsia="Calibri" w:hAnsi="Calibri" w:cs="Calibri"/>
          <w:sz w:val="22"/>
          <w:szCs w:val="22"/>
        </w:rPr>
        <w:t>rodomas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ir kūrėjų animacinis serialas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. </w:t>
      </w:r>
    </w:p>
    <w:p w14:paraId="00000002" w14:textId="4D10F6F8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agal pasiektą tarptautinį platinimą ir „YouTube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Kids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“ auditorijos augimą tai yra vienas </w:t>
      </w:r>
      <w:r>
        <w:rPr>
          <w:rFonts w:ascii="Calibri" w:eastAsia="Calibri" w:hAnsi="Calibri" w:cs="Calibri"/>
          <w:sz w:val="22"/>
          <w:szCs w:val="22"/>
        </w:rPr>
        <w:t>iš itin sėkmingų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lietuviškų animacijos debiutų, rašoma pranešime žiniasklaidai.</w:t>
      </w:r>
    </w:p>
    <w:p w14:paraId="00000003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Raganosiai, kurie moko vaikus atpažinti emocijas </w:t>
      </w:r>
    </w:p>
    <w:p w14:paraId="00000004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„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Rhinos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!“ pasakoja apie tris raganosius – brolius ir seserį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Noah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,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Elą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ir Roną, – kurie patiria įvairias ikimokyklinio amžiaus vaikams pažįstamas kasdienes situacijas ir mokosi atpažinti bei valdyti stiprias emocijas. Istorijos pateikiamos pasitelkiant muziką, žaidybinius elementus ir vaikams pritaikytas sąmoningumo praktikas.</w:t>
      </w:r>
    </w:p>
    <w:p w14:paraId="00000005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Serialo, </w:t>
      </w:r>
      <w:r>
        <w:rPr>
          <w:rFonts w:ascii="Calibri" w:eastAsia="Calibri" w:hAnsi="Calibri" w:cs="Calibri"/>
          <w:sz w:val="22"/>
          <w:szCs w:val="22"/>
        </w:rPr>
        <w:t>tęsiamo jau tris sezonus,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autoriai – lietuvių kūrybinis duetas – psichologė Rugilė Kazlauskienė ir kūryb</w:t>
      </w:r>
      <w:r>
        <w:rPr>
          <w:rFonts w:ascii="Calibri" w:eastAsia="Calibri" w:hAnsi="Calibri" w:cs="Calibri"/>
          <w:sz w:val="22"/>
          <w:szCs w:val="22"/>
        </w:rPr>
        <w:t>os direktorius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Vytautas Tautkevičius, anksčiau išleidę knygą vaikams. </w:t>
      </w:r>
    </w:p>
    <w:p w14:paraId="00000006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Pagrindinė kūrėjų idėja – padėti mažiesiems žiūrovams atpažinti ir suvaldyti stiprias emocijas ir kurti tvaresnius santykius su šeima. Šis pasakojimo požiūris atspindi platesnę šiuolaikinio vaikiško turinio kryptį, kai pramoga jungiama su emocine ugdomąja verte.</w:t>
      </w:r>
    </w:p>
    <w:p w14:paraId="00000007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Serialo interneto svetainėje publikuojami su vaikų psicholog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parengti pykčio valdymo metodai, emocinės savijautos rekomendacijos tėvams, personažų aprašymai bei interaktyvios užduotys vaikams.</w:t>
      </w:r>
    </w:p>
    <w:p w14:paraId="00000008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yškus lietuviškas debiutas animacijoje</w:t>
      </w:r>
    </w:p>
    <w:p w14:paraId="00000009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Šiuo metu lietuviai yra paskelbę apie 100 turinio vienetų – serialo epizodų, interaktyvių žaidimų ir trumpųjų istorijų.</w:t>
      </w:r>
    </w:p>
    <w:p w14:paraId="0000000A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Kūrėjai džiaugiasi, kad per mažiau nei penkis mėnesius jų „YouTube“ kanalas surinko 6 mln. peržiūrų, o bendras peržiūrų laikas viršija šešerius metus nepertraukiamo žiūrėjimo.</w:t>
      </w:r>
    </w:p>
    <w:p w14:paraId="0000000B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Serialas taip pat nominuotas 2026 m. „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TellyCast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Digital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Video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Awards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“ – Jungtinėje Karalystėje rengiamiems socialinio ir skaitmeninio vaizdo turinio industrijos apdovanojimams.</w:t>
      </w:r>
    </w:p>
    <w:p w14:paraId="0000000C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Iki šiol Lietuvos animacijos sėkmės buvo daugiausia festivalinės. </w:t>
      </w:r>
      <w:r>
        <w:rPr>
          <w:rFonts w:ascii="Calibri" w:eastAsia="Calibri" w:hAnsi="Calibri" w:cs="Calibri"/>
          <w:sz w:val="22"/>
          <w:szCs w:val="22"/>
        </w:rPr>
        <w:t xml:space="preserve">Na, o </w:t>
      </w:r>
      <w:r>
        <w:rPr>
          <w:rFonts w:ascii="Calibri" w:eastAsia="Calibri" w:hAnsi="Calibri" w:cs="Calibri"/>
          <w:color w:val="000000"/>
          <w:sz w:val="22"/>
          <w:szCs w:val="22"/>
        </w:rPr>
        <w:t>„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Stomp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!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Rhinos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!“ netrukus pasieks žiūrovus JAV ir Lotynų Amerikos šalyse,</w:t>
      </w:r>
      <w:r>
        <w:rPr>
          <w:rFonts w:ascii="Calibri" w:eastAsia="Calibri" w:hAnsi="Calibri" w:cs="Calibri"/>
          <w:sz w:val="22"/>
          <w:szCs w:val="22"/>
        </w:rPr>
        <w:t xml:space="preserve"> serialas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jau šiuo metu jis transliuojamas Europos, Kanados, Australijos, Pietų Afrikos ir kitų regionų transliavimo platformose. </w:t>
      </w:r>
    </w:p>
    <w:p w14:paraId="0000000D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Debiutas Lotynų Amerikoje yra ypač reikšmingas, kadangi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ispanakalbės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auditorijos paklausa pasaulinėje vaikams skirto turinio rinkoje yra viena didžiausių.</w:t>
      </w:r>
    </w:p>
    <w:p w14:paraId="0000000E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Lietuviai žengia į rinką, dominuojamą „</w:t>
      </w:r>
      <w:proofErr w:type="spell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Disney</w:t>
      </w:r>
      <w:proofErr w:type="spell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“ ir kitų gigantų</w:t>
      </w:r>
    </w:p>
    <w:p w14:paraId="0000000F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Pasaulinė vaikams skirto televizijos turinio rinka 2025 m. buvo įvertinta 142,6 mlrd. JAV dolerių, o iki 2034 m. prognozuojama, kad jos vertė pasieks 238,4 mlrd. JAV dolerių. </w:t>
      </w:r>
    </w:p>
    <w:p w14:paraId="00000010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Kaip sako „OAK9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Entertainment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“ prodiuseris Mindaugas Jokubaitis, paprastai į tokią rinką įžengti naujam, nedidelės šalies kūrėjų sukurtam prekės ženklui yra itin sudėtinga: „</w:t>
      </w:r>
      <w:r>
        <w:rPr>
          <w:rFonts w:ascii="Calibri" w:eastAsia="Calibri" w:hAnsi="Calibri" w:cs="Calibri"/>
          <w:sz w:val="22"/>
          <w:szCs w:val="22"/>
        </w:rPr>
        <w:t>Tarp animacinių serialų dažniausiai atpažįstami „</w:t>
      </w:r>
      <w:proofErr w:type="spellStart"/>
      <w:r>
        <w:rPr>
          <w:rFonts w:ascii="Calibri" w:eastAsia="Calibri" w:hAnsi="Calibri" w:cs="Calibri"/>
          <w:sz w:val="22"/>
          <w:szCs w:val="22"/>
        </w:rPr>
        <w:t>Bluey</w:t>
      </w:r>
      <w:proofErr w:type="spellEnd"/>
      <w:r>
        <w:rPr>
          <w:rFonts w:ascii="Calibri" w:eastAsia="Calibri" w:hAnsi="Calibri" w:cs="Calibri"/>
          <w:sz w:val="22"/>
          <w:szCs w:val="22"/>
        </w:rPr>
        <w:t>“, „</w:t>
      </w:r>
      <w:proofErr w:type="spellStart"/>
      <w:r>
        <w:rPr>
          <w:rFonts w:ascii="Calibri" w:eastAsia="Calibri" w:hAnsi="Calibri" w:cs="Calibri"/>
          <w:sz w:val="22"/>
          <w:szCs w:val="22"/>
        </w:rPr>
        <w:t>Peppa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Pig</w:t>
      </w:r>
      <w:proofErr w:type="spellEnd"/>
      <w:r>
        <w:rPr>
          <w:rFonts w:ascii="Calibri" w:eastAsia="Calibri" w:hAnsi="Calibri" w:cs="Calibri"/>
          <w:sz w:val="22"/>
          <w:szCs w:val="22"/>
        </w:rPr>
        <w:t>“, „</w:t>
      </w:r>
      <w:proofErr w:type="spellStart"/>
      <w:r>
        <w:rPr>
          <w:rFonts w:ascii="Calibri" w:eastAsia="Calibri" w:hAnsi="Calibri" w:cs="Calibri"/>
          <w:sz w:val="22"/>
          <w:szCs w:val="22"/>
        </w:rPr>
        <w:t>Paw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Patrol</w:t>
      </w:r>
      <w:proofErr w:type="spellEnd"/>
      <w:r>
        <w:rPr>
          <w:rFonts w:ascii="Calibri" w:eastAsia="Calibri" w:hAnsi="Calibri" w:cs="Calibri"/>
          <w:sz w:val="22"/>
          <w:szCs w:val="22"/>
        </w:rPr>
        <w:t>“, konkuruoti tenka ir su „</w:t>
      </w:r>
      <w:proofErr w:type="spellStart"/>
      <w:r>
        <w:rPr>
          <w:rFonts w:ascii="Calibri" w:eastAsia="Calibri" w:hAnsi="Calibri" w:cs="Calibri"/>
          <w:sz w:val="22"/>
          <w:szCs w:val="22"/>
        </w:rPr>
        <w:t>Disney</w:t>
      </w:r>
      <w:proofErr w:type="spellEnd"/>
      <w:r>
        <w:rPr>
          <w:rFonts w:ascii="Calibri" w:eastAsia="Calibri" w:hAnsi="Calibri" w:cs="Calibri"/>
          <w:sz w:val="22"/>
          <w:szCs w:val="22"/>
        </w:rPr>
        <w:t>“ ar „</w:t>
      </w:r>
      <w:proofErr w:type="spellStart"/>
      <w:r>
        <w:rPr>
          <w:rFonts w:ascii="Calibri" w:eastAsia="Calibri" w:hAnsi="Calibri" w:cs="Calibri"/>
          <w:sz w:val="22"/>
          <w:szCs w:val="22"/>
        </w:rPr>
        <w:t>Nickelodeon</w:t>
      </w:r>
      <w:proofErr w:type="spellEnd"/>
      <w:r>
        <w:rPr>
          <w:rFonts w:ascii="Calibri" w:eastAsia="Calibri" w:hAnsi="Calibri" w:cs="Calibri"/>
          <w:sz w:val="22"/>
          <w:szCs w:val="22"/>
        </w:rPr>
        <w:t>“,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todėl pasiektas rezultatas </w:t>
      </w:r>
      <w:r>
        <w:rPr>
          <w:rFonts w:ascii="Calibri" w:eastAsia="Calibri" w:hAnsi="Calibri" w:cs="Calibri"/>
          <w:sz w:val="22"/>
          <w:szCs w:val="22"/>
        </w:rPr>
        <w:t>džiugina</w:t>
      </w:r>
      <w:r>
        <w:rPr>
          <w:rFonts w:ascii="Calibri" w:eastAsia="Calibri" w:hAnsi="Calibri" w:cs="Calibri"/>
          <w:color w:val="000000"/>
          <w:sz w:val="22"/>
          <w:szCs w:val="22"/>
        </w:rPr>
        <w:t>. Norėjome serialo, kuris vaikams būtų smagus, o tėvams padėtų pradėti pokalbius apie emocijas. Panašu, kad tai – itin aktualu daugeliui.“</w:t>
      </w:r>
    </w:p>
    <w:p w14:paraId="00000011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Pastaraisiais metais Baltijos šalių animacija vis dažniau sulaukia tarptautinio dėmesio, </w:t>
      </w:r>
      <w:r>
        <w:rPr>
          <w:rFonts w:ascii="Calibri" w:eastAsia="Calibri" w:hAnsi="Calibri" w:cs="Calibri"/>
          <w:sz w:val="22"/>
          <w:szCs w:val="22"/>
        </w:rPr>
        <w:t xml:space="preserve">o tokie pavyzdžiai rodo, kad regiono kūrėjai įsitvirtina pasauliniame animacijos žemėlapyje ir jau gali būti matomi ne tik festivaliuose. </w:t>
      </w:r>
    </w:p>
    <w:p w14:paraId="00000012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Apie „OAK9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Entertainment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>“</w:t>
      </w:r>
    </w:p>
    <w:p w14:paraId="00000013" w14:textId="77777777" w:rsidR="00AB466B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</w:rPr>
        <w:t xml:space="preserve">„OAK9 </w:t>
      </w:r>
      <w:proofErr w:type="spellStart"/>
      <w:r>
        <w:rPr>
          <w:rFonts w:ascii="Calibri" w:eastAsia="Calibri" w:hAnsi="Calibri" w:cs="Calibri"/>
          <w:color w:val="000000"/>
        </w:rPr>
        <w:t>Entertainment</w:t>
      </w:r>
      <w:proofErr w:type="spellEnd"/>
      <w:r>
        <w:rPr>
          <w:rFonts w:ascii="Calibri" w:eastAsia="Calibri" w:hAnsi="Calibri" w:cs="Calibri"/>
          <w:color w:val="000000"/>
        </w:rPr>
        <w:t>“ – bendrovė, kurianti ir plėtojanti pramogų prekės ženklus pasaulinei auditorijai. Bendrovė dirba įvairiais formatais: nuo tradicinės serialų animacijos iki trumpojo formato turinio, socialinio turinio, muzikos, lokacijomis grįstų pramogų ir leidybos projektų.</w:t>
      </w:r>
    </w:p>
    <w:sectPr w:rsidR="00AB466B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9EE490-5B34-453D-8008-D2FB1E1C4CC1}"/>
    <w:embedBold r:id="rId2" w:fontKey="{F43E602B-B854-41DA-A5DA-DF261055C1D2}"/>
    <w:embedItalic r:id="rId3" w:fontKey="{1B367D0C-A069-4AB8-92EC-5971703640E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7243F89-EF9D-47EB-B901-7B5D8D9FAF1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66B"/>
    <w:rsid w:val="003A1962"/>
    <w:rsid w:val="005512DF"/>
    <w:rsid w:val="00AB466B"/>
    <w:rsid w:val="00E9284B"/>
    <w:rsid w:val="00FE0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DC9EEC"/>
  <w15:docId w15:val="{C2E7C7DF-AA63-4D3B-954E-D07D8D370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59" w:lineRule="auto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160" w:after="80" w:line="259" w:lineRule="auto"/>
      <w:ind w:left="576" w:hanging="576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160" w:after="80" w:line="259" w:lineRule="auto"/>
      <w:ind w:left="720" w:hanging="720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80" w:after="40" w:line="259" w:lineRule="auto"/>
      <w:ind w:left="864" w:hanging="864"/>
      <w:outlineLvl w:val="3"/>
    </w:pPr>
    <w:rPr>
      <w:rFonts w:ascii="Calibri" w:eastAsia="Calibri" w:hAnsi="Calibri" w:cs="Calibri"/>
      <w:i/>
      <w:iCs/>
      <w:color w:val="2F5496"/>
      <w:sz w:val="22"/>
      <w:szCs w:val="2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80" w:after="40" w:line="259" w:lineRule="auto"/>
      <w:ind w:left="1008" w:hanging="1008"/>
      <w:outlineLvl w:val="4"/>
    </w:pPr>
    <w:rPr>
      <w:rFonts w:ascii="Calibri" w:eastAsia="Calibri" w:hAnsi="Calibri" w:cs="Calibri"/>
      <w:color w:val="2F5496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line="259" w:lineRule="auto"/>
      <w:ind w:left="1152" w:hanging="1152"/>
      <w:outlineLvl w:val="5"/>
    </w:pPr>
    <w:rPr>
      <w:rFonts w:ascii="Calibri" w:eastAsia="Calibri" w:hAnsi="Calibri" w:cs="Calibri"/>
      <w:i/>
      <w:iCs/>
      <w:color w:val="595959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  <w:spacing w:after="80" w:line="259" w:lineRule="auto"/>
      <w:jc w:val="center"/>
    </w:pPr>
    <w:rPr>
      <w:rFonts w:ascii="Calibri" w:eastAsia="Calibri" w:hAnsi="Calibri" w:cs="Calibri"/>
      <w:b/>
      <w:bCs/>
      <w:color w:val="000000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pBdr>
        <w:top w:val="nil"/>
        <w:left w:val="nil"/>
        <w:bottom w:val="nil"/>
        <w:right w:val="nil"/>
        <w:between w:val="nil"/>
      </w:pBdr>
      <w:spacing w:after="160" w:line="259" w:lineRule="auto"/>
      <w:jc w:val="center"/>
    </w:pPr>
    <w:rPr>
      <w:rFonts w:ascii="Calibri" w:eastAsia="Calibri" w:hAnsi="Calibri" w:cs="Calibri"/>
      <w:i/>
      <w:iCs/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566</Words>
  <Characters>3230</Characters>
  <Application>Microsoft Office Word</Application>
  <DocSecurity>0</DocSecurity>
  <Lines>26</Lines>
  <Paragraphs>7</Paragraphs>
  <ScaleCrop>false</ScaleCrop>
  <Company/>
  <LinksUpToDate>false</LinksUpToDate>
  <CharactersWithSpaces>3789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Erik Murin</dc:creator>
  <cp:lastModifiedBy>Erik Murin</cp:lastModifiedBy>
  <cp:revision>3</cp:revision>
  <dcterms:created xsi:type="dcterms:W3CDTF">2026-05-25T05:25:00Z</dcterms:created>
  <dcterms:modified xsi:type="dcterms:W3CDTF">2026-05-25T10:59:00Z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