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4044" w14:textId="575A3925" w:rsidR="001F1275" w:rsidRPr="00DB1932" w:rsidRDefault="002354CB" w:rsidP="001F1275">
      <w:pPr>
        <w:ind w:left="2" w:hangingChars="1" w:hanging="2"/>
        <w:jc w:val="both"/>
        <w:rPr>
          <w:rFonts w:ascii="Verdana" w:eastAsia="Arial Unicode MS" w:hAnsi="Verdana" w:cs="Open Sans"/>
          <w:b/>
          <w:bCs/>
          <w:color w:val="0068A5"/>
          <w:lang w:eastAsia="en-US"/>
        </w:rPr>
      </w:pPr>
      <w:r w:rsidRPr="002354CB">
        <w:rPr>
          <w:rFonts w:ascii="Verdana" w:eastAsia="Arial Unicode MS" w:hAnsi="Verdana" w:cs="Open Sans"/>
          <w:b/>
          <w:bCs/>
          <w:color w:val="0068A5"/>
          <w:lang w:eastAsia="en-US"/>
        </w:rPr>
        <w:t>„Civinity“ tęsia obligacijų programą: nauja emisijos dalis skirta tolesnei grupės plėtrai finansuoti, sieks iki 15 mln. Eur</w:t>
      </w:r>
    </w:p>
    <w:p w14:paraId="4E41DB24" w14:textId="0C6195F8" w:rsidR="00F9294D" w:rsidRDefault="0023061F" w:rsidP="003D046C">
      <w:pPr>
        <w:spacing w:after="120"/>
        <w:jc w:val="both"/>
        <w:rPr>
          <w:rFonts w:ascii="Verdana" w:eastAsia="Open Sans" w:hAnsi="Verdana" w:cs="Open Sans"/>
          <w:i/>
          <w:iCs/>
          <w:color w:val="000000" w:themeColor="text1"/>
          <w:sz w:val="16"/>
          <w:szCs w:val="16"/>
        </w:rPr>
      </w:pPr>
      <w:r>
        <w:rPr>
          <w:rFonts w:ascii="Verdana" w:eastAsia="Open Sans" w:hAnsi="Verdana" w:cs="Open Sans"/>
          <w:i/>
          <w:iCs/>
          <w:color w:val="000000" w:themeColor="text1"/>
          <w:sz w:val="16"/>
          <w:szCs w:val="16"/>
        </w:rPr>
        <w:t xml:space="preserve">2026 m. </w:t>
      </w:r>
      <w:r w:rsidR="0011607C">
        <w:rPr>
          <w:rFonts w:ascii="Verdana" w:eastAsia="Open Sans" w:hAnsi="Verdana" w:cs="Open Sans"/>
          <w:i/>
          <w:iCs/>
          <w:color w:val="000000" w:themeColor="text1"/>
          <w:sz w:val="16"/>
          <w:szCs w:val="16"/>
        </w:rPr>
        <w:t xml:space="preserve">gegužės </w:t>
      </w:r>
      <w:r w:rsidR="000E153A">
        <w:rPr>
          <w:rFonts w:ascii="Verdana" w:eastAsia="Open Sans" w:hAnsi="Verdana" w:cs="Open Sans"/>
          <w:i/>
          <w:iCs/>
          <w:color w:val="000000" w:themeColor="text1"/>
          <w:sz w:val="16"/>
          <w:szCs w:val="16"/>
        </w:rPr>
        <w:t>2</w:t>
      </w:r>
      <w:r w:rsidR="0052614C">
        <w:rPr>
          <w:rFonts w:ascii="Verdana" w:eastAsia="Open Sans" w:hAnsi="Verdana" w:cs="Open Sans"/>
          <w:i/>
          <w:iCs/>
          <w:color w:val="000000" w:themeColor="text1"/>
          <w:sz w:val="16"/>
          <w:szCs w:val="16"/>
        </w:rPr>
        <w:t>7</w:t>
      </w:r>
      <w:r>
        <w:rPr>
          <w:rFonts w:ascii="Verdana" w:eastAsia="Open Sans" w:hAnsi="Verdana" w:cs="Open Sans"/>
          <w:i/>
          <w:iCs/>
          <w:color w:val="000000" w:themeColor="text1"/>
          <w:sz w:val="16"/>
          <w:szCs w:val="16"/>
        </w:rPr>
        <w:t xml:space="preserve"> d.</w:t>
      </w:r>
    </w:p>
    <w:p w14:paraId="7A169E64" w14:textId="6F796AFA" w:rsidR="003D046C" w:rsidRPr="001B0832" w:rsidRDefault="003D046C" w:rsidP="003D046C">
      <w:pPr>
        <w:spacing w:after="120"/>
        <w:jc w:val="both"/>
        <w:rPr>
          <w:rFonts w:ascii="Verdana" w:eastAsia="Open Sans" w:hAnsi="Verdana" w:cs="Open Sans"/>
          <w:sz w:val="20"/>
          <w:szCs w:val="20"/>
        </w:rPr>
      </w:pPr>
    </w:p>
    <w:p w14:paraId="6DC15201" w14:textId="77777777" w:rsidR="004A6162" w:rsidRPr="004A6162" w:rsidRDefault="004A6162" w:rsidP="004A6162">
      <w:pPr>
        <w:spacing w:after="120"/>
        <w:jc w:val="both"/>
        <w:rPr>
          <w:rFonts w:ascii="Verdana" w:eastAsia="Open Sans" w:hAnsi="Verdana" w:cs="Open Sans"/>
          <w:b/>
          <w:bCs/>
          <w:sz w:val="18"/>
          <w:szCs w:val="18"/>
          <w:lang w:val="en-LT"/>
        </w:rPr>
      </w:pPr>
      <w:r w:rsidRPr="004A6162">
        <w:rPr>
          <w:rFonts w:ascii="Verdana" w:eastAsia="Open Sans" w:hAnsi="Verdana" w:cs="Open Sans"/>
          <w:b/>
          <w:bCs/>
          <w:sz w:val="18"/>
          <w:szCs w:val="18"/>
        </w:rPr>
        <w:t xml:space="preserve">„Civinity“ grupė pradeda platinti iki 15 mln. vertės obligacijų emisijos pratęsimą </w:t>
      </w:r>
      <w:r w:rsidRPr="004A6162">
        <w:rPr>
          <w:rFonts w:ascii="Verdana" w:eastAsia="Open Sans" w:hAnsi="Verdana" w:cs="Open Sans"/>
          <w:b/>
          <w:bCs/>
          <w:sz w:val="18"/>
          <w:szCs w:val="18"/>
          <w:lang w:val="en-LT"/>
        </w:rPr>
        <w:t xml:space="preserve">pagal Lietuvos banko patvirtintą prospektą dėl iki 50 mln. eurų obligacijų išleidimo ir listingavimo Nasdaq reguliuojamoje rinkoje. Tai – tęstinis „Civinity“ grupės žingsnis kapitalo rinkoje, siekiant per obligacijas įgytomis lėšomis finansuoti </w:t>
      </w:r>
      <w:r w:rsidRPr="004A6162">
        <w:rPr>
          <w:rFonts w:ascii="Verdana" w:eastAsia="Open Sans" w:hAnsi="Verdana" w:cs="Open Sans"/>
          <w:b/>
          <w:bCs/>
          <w:sz w:val="18"/>
          <w:szCs w:val="18"/>
        </w:rPr>
        <w:t>tolesnę grupės plėtrą, įsigijimų finansavimą ir kapitalo struktūros valdymą.</w:t>
      </w:r>
    </w:p>
    <w:p w14:paraId="2C73E015" w14:textId="77777777" w:rsidR="004A6162" w:rsidRPr="004A6162" w:rsidRDefault="004A6162" w:rsidP="004A6162">
      <w:pPr>
        <w:spacing w:after="120"/>
        <w:jc w:val="both"/>
        <w:rPr>
          <w:rFonts w:ascii="Verdana" w:eastAsia="Open Sans" w:hAnsi="Verdana" w:cs="Open Sans"/>
          <w:sz w:val="18"/>
          <w:szCs w:val="18"/>
          <w:lang w:val="en-LT"/>
        </w:rPr>
      </w:pPr>
      <w:r w:rsidRPr="004A6162">
        <w:rPr>
          <w:rFonts w:ascii="Verdana" w:eastAsia="Open Sans" w:hAnsi="Verdana" w:cs="Open Sans"/>
          <w:sz w:val="18"/>
          <w:szCs w:val="18"/>
          <w:lang w:val="en-LT"/>
        </w:rPr>
        <w:t xml:space="preserve">Pagrindinių platinimo sąlygų santrauka: </w:t>
      </w:r>
    </w:p>
    <w:p w14:paraId="746858DF" w14:textId="77777777" w:rsidR="004A6162" w:rsidRPr="004A6162" w:rsidRDefault="004A6162" w:rsidP="004A6162">
      <w:pPr>
        <w:numPr>
          <w:ilvl w:val="0"/>
          <w:numId w:val="6"/>
        </w:numPr>
        <w:spacing w:after="120"/>
        <w:ind w:left="714" w:hanging="357"/>
        <w:contextualSpacing/>
        <w:jc w:val="both"/>
        <w:rPr>
          <w:rFonts w:ascii="Verdana" w:eastAsia="Open Sans" w:hAnsi="Verdana" w:cs="Open Sans"/>
          <w:sz w:val="18"/>
          <w:szCs w:val="18"/>
          <w:lang w:val="en-LT"/>
        </w:rPr>
      </w:pPr>
      <w:r w:rsidRPr="004A6162">
        <w:rPr>
          <w:rFonts w:ascii="Verdana" w:eastAsia="Open Sans" w:hAnsi="Verdana" w:cs="Open Sans"/>
          <w:sz w:val="18"/>
          <w:szCs w:val="18"/>
          <w:lang w:val="en-LT"/>
        </w:rPr>
        <w:t>emisijos dydis – iki 15 mln. Eur;</w:t>
      </w:r>
    </w:p>
    <w:p w14:paraId="62265BA5" w14:textId="77777777" w:rsidR="004A6162" w:rsidRPr="004A6162" w:rsidRDefault="004A6162" w:rsidP="004A6162">
      <w:pPr>
        <w:numPr>
          <w:ilvl w:val="0"/>
          <w:numId w:val="6"/>
        </w:numPr>
        <w:spacing w:after="120"/>
        <w:ind w:left="714" w:hanging="357"/>
        <w:contextualSpacing/>
        <w:jc w:val="both"/>
        <w:rPr>
          <w:rFonts w:ascii="Verdana" w:eastAsia="Open Sans" w:hAnsi="Verdana" w:cs="Open Sans"/>
          <w:sz w:val="18"/>
          <w:szCs w:val="18"/>
          <w:lang w:val="en-LT"/>
        </w:rPr>
      </w:pPr>
      <w:r w:rsidRPr="004A6162">
        <w:rPr>
          <w:rFonts w:ascii="Verdana" w:eastAsia="Open Sans" w:hAnsi="Verdana" w:cs="Open Sans"/>
          <w:sz w:val="18"/>
          <w:szCs w:val="18"/>
          <w:lang w:val="en-LT"/>
        </w:rPr>
        <w:t>obligacijos nominalioji vertė – 1000 Eur;</w:t>
      </w:r>
    </w:p>
    <w:p w14:paraId="7496B3B6" w14:textId="77777777" w:rsidR="004A6162" w:rsidRPr="004A6162" w:rsidRDefault="004A6162" w:rsidP="004A6162">
      <w:pPr>
        <w:numPr>
          <w:ilvl w:val="0"/>
          <w:numId w:val="6"/>
        </w:numPr>
        <w:spacing w:after="120"/>
        <w:ind w:left="714" w:hanging="357"/>
        <w:contextualSpacing/>
        <w:jc w:val="both"/>
        <w:rPr>
          <w:rFonts w:ascii="Verdana" w:eastAsia="Open Sans" w:hAnsi="Verdana" w:cs="Open Sans"/>
          <w:sz w:val="18"/>
          <w:szCs w:val="18"/>
          <w:lang w:val="en-LT"/>
        </w:rPr>
      </w:pPr>
      <w:r w:rsidRPr="004A6162">
        <w:rPr>
          <w:rFonts w:ascii="Verdana" w:eastAsia="Open Sans" w:hAnsi="Verdana" w:cs="Open Sans"/>
          <w:sz w:val="18"/>
          <w:szCs w:val="18"/>
          <w:lang w:val="en-LT"/>
        </w:rPr>
        <w:t>palūkanų norma – 10 proc.;</w:t>
      </w:r>
    </w:p>
    <w:p w14:paraId="54794719" w14:textId="77777777" w:rsidR="004A6162" w:rsidRPr="004A6162" w:rsidRDefault="004A6162" w:rsidP="004A6162">
      <w:pPr>
        <w:numPr>
          <w:ilvl w:val="0"/>
          <w:numId w:val="6"/>
        </w:numPr>
        <w:spacing w:after="120"/>
        <w:ind w:left="714" w:hanging="357"/>
        <w:contextualSpacing/>
        <w:jc w:val="both"/>
        <w:rPr>
          <w:rFonts w:ascii="Verdana" w:eastAsia="Open Sans" w:hAnsi="Verdana" w:cs="Open Sans"/>
          <w:sz w:val="18"/>
          <w:szCs w:val="18"/>
          <w:lang w:val="en-LT"/>
        </w:rPr>
      </w:pPr>
      <w:r w:rsidRPr="004A6162">
        <w:rPr>
          <w:rFonts w:ascii="Verdana" w:eastAsia="Open Sans" w:hAnsi="Verdana" w:cs="Open Sans"/>
          <w:sz w:val="18"/>
          <w:szCs w:val="18"/>
          <w:lang w:val="en-LT"/>
        </w:rPr>
        <w:t>pelningumas – 9,5% arba 10%, pagal investuotojo pasirinktą vienos obligacijos įsigijimo kainą;</w:t>
      </w:r>
    </w:p>
    <w:p w14:paraId="4BA97F32" w14:textId="77777777" w:rsidR="004A6162" w:rsidRPr="004A6162" w:rsidRDefault="004A6162" w:rsidP="004A6162">
      <w:pPr>
        <w:numPr>
          <w:ilvl w:val="0"/>
          <w:numId w:val="6"/>
        </w:numPr>
        <w:spacing w:after="120"/>
        <w:ind w:left="714" w:hanging="357"/>
        <w:contextualSpacing/>
        <w:jc w:val="both"/>
        <w:rPr>
          <w:rFonts w:ascii="Verdana" w:eastAsia="Open Sans" w:hAnsi="Verdana" w:cs="Open Sans"/>
          <w:sz w:val="18"/>
          <w:szCs w:val="18"/>
          <w:lang w:val="en-LT"/>
        </w:rPr>
      </w:pPr>
      <w:r w:rsidRPr="004A6162">
        <w:rPr>
          <w:rFonts w:ascii="Verdana" w:eastAsia="Open Sans" w:hAnsi="Verdana" w:cs="Open Sans"/>
          <w:sz w:val="18"/>
          <w:szCs w:val="18"/>
          <w:lang w:val="en-LT"/>
        </w:rPr>
        <w:t xml:space="preserve">platinimo periodas – nuo 2026 m. gegužės 27 d. iki 2026 m. birželio 10 d. </w:t>
      </w:r>
    </w:p>
    <w:p w14:paraId="40817755" w14:textId="77777777" w:rsidR="004A6162" w:rsidRPr="004A6162" w:rsidRDefault="004A6162" w:rsidP="004A6162">
      <w:pPr>
        <w:numPr>
          <w:ilvl w:val="0"/>
          <w:numId w:val="6"/>
        </w:numPr>
        <w:spacing w:after="120"/>
        <w:jc w:val="both"/>
        <w:rPr>
          <w:rFonts w:ascii="Verdana" w:eastAsia="Open Sans" w:hAnsi="Verdana" w:cs="Open Sans"/>
          <w:sz w:val="18"/>
          <w:szCs w:val="18"/>
          <w:lang w:val="en-LT"/>
        </w:rPr>
      </w:pPr>
      <w:r w:rsidRPr="004A6162">
        <w:rPr>
          <w:rFonts w:ascii="Verdana" w:eastAsia="Open Sans" w:hAnsi="Verdana" w:cs="Open Sans"/>
          <w:sz w:val="18"/>
          <w:szCs w:val="18"/>
          <w:lang w:val="en-LT"/>
        </w:rPr>
        <w:t>minimalus  įsigyjamas kiekis – 1 obligacija.</w:t>
      </w:r>
    </w:p>
    <w:p w14:paraId="41CBCD5F"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Pastaraisiais metais „Civinity“ nuosekliai stiprino veiklą tiek organiškai, tiek per įsigijimus, o 2025 m. grupės pajamos pirmą kartą perkopė 100 mln. eurų ribą.</w:t>
      </w:r>
    </w:p>
    <w:p w14:paraId="42929904"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„Kapitalo rinka mums nėra vienkartinis finansavimo šaltinis. Tai ilgalaikė mūsų augimo strategijos dalis. Pastaraisiais metais rodėme, kad gebame augti, integruoti įsigytus verslus ir didinti veiklos mastą. Nauja obligacijų atkarpa leidžia tęsti šią kryptį ir finansuoti kitą plėtros etapą“, – sako „Civinity“ grupės valdybos pirmininkas Deividas Jacka.</w:t>
      </w:r>
    </w:p>
    <w:p w14:paraId="0D0510B0"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Audituotais duomenimis, 2025 m. „Civinity“ grupės pajamos siekė 100,4 mln. eurų ir per metus išaugo 13,4 proc., o EBITDA padidėjo 18 proc., iki 8,3 mln. eurų. Pelnas prieš mokesčius sudarė 2,83 mln. eurų. Grupės vadovų teigimu, šie rezultatai rodo ne tik didesnį veiklos mastą, bet ir stiprėjantį operacinį efektyvumą.</w:t>
      </w:r>
    </w:p>
    <w:p w14:paraId="165DE870"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„Mums svarbu, kad augimas būtų ne tik didesnės pajamos. Didėjanti EBITDA rodo, kad grupė tampa efektyvesnė ir atsparesnė. Tai ypač svarbu tada, kai einame į naujas rinkas, plečiame paslaugų spektrą ir investuojame į verslus, kurie gali sustiprinti visą grupės platformą“, – pažymi D. Jacka.</w:t>
      </w:r>
    </w:p>
    <w:p w14:paraId="2BAAC284"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Pastaruoju metu „Civinity“ aktyviai vysto kelias kryptis: pastatų administravimą ir priežiūrą, inžinerines paslaugas, renovaciją, mobilumo sprendimus, skaitmeninius produktus ir papildomą vertę kuriančias paslaugas. Grupė taip pat yra paskelbusi apie įsigijimus už Baltijos šalių ribų, tarp jų – įgyvendintą liftų inžinerijos verslo įsigijimą Kroatijoje ir Slovėnijoje.</w:t>
      </w:r>
    </w:p>
    <w:p w14:paraId="50F513C6"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 xml:space="preserve">Pasak D. </w:t>
      </w:r>
      <w:proofErr w:type="spellStart"/>
      <w:r w:rsidRPr="004A6162">
        <w:rPr>
          <w:rFonts w:ascii="Verdana" w:eastAsia="Open Sans" w:hAnsi="Verdana" w:cs="Open Sans"/>
          <w:sz w:val="18"/>
          <w:szCs w:val="18"/>
        </w:rPr>
        <w:t>Jackos</w:t>
      </w:r>
      <w:proofErr w:type="spellEnd"/>
      <w:r w:rsidRPr="004A6162">
        <w:rPr>
          <w:rFonts w:ascii="Verdana" w:eastAsia="Open Sans" w:hAnsi="Verdana" w:cs="Open Sans"/>
          <w:sz w:val="18"/>
          <w:szCs w:val="18"/>
        </w:rPr>
        <w:t>, tokie sandoriai rodo, kad „Civinity“ pereina į naują augimo etapą: nuo veiklos stiprinimo pažįstamose rinkose prie platesnės regioninės platformos kūrimo.</w:t>
      </w:r>
    </w:p>
    <w:p w14:paraId="65047A41"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„Jei ankstesni įsigijimai daugiausia stiprino mūsų pozicijas Baltijos šalyse, dabar žengiame į kitą etapą – plečiame inžinerinių ir susijusių paslaugų portfelį platesnėje Europos erdvėje. Tam reikalingas ne tik kapitalas, bet ir aiški finansavimo struktūra. Obligacijos leidžia išlaikyti lankstumą ir kartu kurti ilgalaikį santykį su investuotojais“, – sako jis.</w:t>
      </w:r>
    </w:p>
    <w:p w14:paraId="77D2FBF5"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„Civinity“ obligacijų istorija prasidėjo dar 2021 m., kai grupė išplatino pirmąją 8 mln. eurų emisiją. 2023 m. antroji 8 mln. eurų emisija sulaukė didelio investuotojų susidomėjimo ir buvo išplatinta dar nepasibaigus platinimo terminui. 2025 m. grupė patvirtino iki 50 mln. obligacijų programą, įtraukiant obligacijas į AB „</w:t>
      </w:r>
      <w:proofErr w:type="spellStart"/>
      <w:r w:rsidRPr="004A6162">
        <w:rPr>
          <w:rFonts w:ascii="Verdana" w:eastAsia="Open Sans" w:hAnsi="Verdana" w:cs="Open Sans"/>
          <w:sz w:val="18"/>
          <w:szCs w:val="18"/>
        </w:rPr>
        <w:t>Nasdaq</w:t>
      </w:r>
      <w:proofErr w:type="spellEnd"/>
      <w:r w:rsidRPr="004A6162">
        <w:rPr>
          <w:rFonts w:ascii="Verdana" w:eastAsia="Open Sans" w:hAnsi="Verdana" w:cs="Open Sans"/>
          <w:sz w:val="18"/>
          <w:szCs w:val="18"/>
        </w:rPr>
        <w:t xml:space="preserve"> Vilnius“ reguliuojamą rinką.</w:t>
      </w:r>
    </w:p>
    <w:p w14:paraId="7418D8DE"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„Civinity“ yra paslaugų grupė, kurios didelė dalis pajamų generuojama iš pasikartojančių veiklų – gyvenamųjų ir komercinių pastatų valdymo paslaugų, techninės priežiūros ir administravimo. Tokia struktūra paprastai leidžia aiškiau vertinti pinigų srautų stabilumą ir grupės gebėjimą aptarnauti finansinius įsipareigojimus.</w:t>
      </w:r>
    </w:p>
    <w:p w14:paraId="7844A804"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„Mūsų verslas remiasi pasikartojančiomis paslaugomis ir ilgalaikiais santykiais su klientais. Tai suteikia stabilumo, tačiau kartu neužtenka vien saugoti esamą poziciją. Rinkoje matome daug konsolidacijos galimybių, ypač inžinerinių ir miesto paslaugų srityse. Todėl finansavimo sprendimai turi būti suderinti su ambicija augti“, – komentuoja D. Jacka.</w:t>
      </w:r>
    </w:p>
    <w:p w14:paraId="7CEEACE4"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„Civinity“ nurodo, kad investuotojams bus pateikta visa su emisija susijusi informacija pagal taikomus reikalavimus. Obligacijos, kaip ir kitos investavimo priemonės, yra susijusios su rizika, todėl investuotojai sprendimus turėtų priimti įvertinę emisijos dokumentus, savo finansinę padėtį ir rizikos toleranciją.</w:t>
      </w:r>
    </w:p>
    <w:p w14:paraId="6B6BA860" w14:textId="77777777" w:rsidR="004A6162" w:rsidRPr="004A6162" w:rsidRDefault="004A6162" w:rsidP="004A6162">
      <w:pPr>
        <w:spacing w:after="120"/>
        <w:jc w:val="both"/>
        <w:rPr>
          <w:rFonts w:ascii="Verdana" w:eastAsia="Open Sans" w:hAnsi="Verdana" w:cs="Open Sans"/>
          <w:sz w:val="18"/>
          <w:szCs w:val="18"/>
          <w:lang w:val="en-LT"/>
        </w:rPr>
      </w:pPr>
      <w:r w:rsidRPr="004A6162">
        <w:rPr>
          <w:rFonts w:ascii="Verdana" w:eastAsia="Open Sans" w:hAnsi="Verdana" w:cs="Open Sans"/>
          <w:sz w:val="18"/>
          <w:szCs w:val="18"/>
          <w:lang w:val="en-LT"/>
        </w:rPr>
        <w:t>Obligacijų platinimą organizuoja Luminor Bank AS Lietuvos skyrius, papildomi platintojai Latvijoje bei Estijoje – AS Redgate Capital ir UAB Evernord. Emisijos teisinis patarėjas – advokatų profesinė bendrija TEGOS.</w:t>
      </w:r>
    </w:p>
    <w:p w14:paraId="1C276D54"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 xml:space="preserve">„Su šiuo platinimu Baltijos šalių investuotojai turi galimybę investuoti į brandžią, stabilų pajamų srautą generuojančią ir jau </w:t>
      </w:r>
      <w:r w:rsidRPr="004A6162">
        <w:rPr>
          <w:rFonts w:ascii="Verdana" w:eastAsia="Open Sans" w:hAnsi="Verdana" w:cs="Open Sans"/>
          <w:sz w:val="18"/>
          <w:szCs w:val="18"/>
          <w:lang w:val="en-US"/>
        </w:rPr>
        <w:t xml:space="preserve">100 </w:t>
      </w:r>
      <w:proofErr w:type="spellStart"/>
      <w:r w:rsidRPr="004A6162">
        <w:rPr>
          <w:rFonts w:ascii="Verdana" w:eastAsia="Open Sans" w:hAnsi="Verdana" w:cs="Open Sans"/>
          <w:sz w:val="18"/>
          <w:szCs w:val="18"/>
          <w:lang w:val="en-US"/>
        </w:rPr>
        <w:t>mln</w:t>
      </w:r>
      <w:proofErr w:type="spellEnd"/>
      <w:r w:rsidRPr="004A6162">
        <w:rPr>
          <w:rFonts w:ascii="Verdana" w:eastAsia="Open Sans" w:hAnsi="Verdana" w:cs="Open Sans"/>
          <w:sz w:val="18"/>
          <w:szCs w:val="18"/>
          <w:lang w:val="en-US"/>
        </w:rPr>
        <w:t xml:space="preserve">. </w:t>
      </w:r>
      <w:proofErr w:type="spellStart"/>
      <w:r w:rsidRPr="004A6162">
        <w:rPr>
          <w:rFonts w:ascii="Verdana" w:eastAsia="Open Sans" w:hAnsi="Verdana" w:cs="Open Sans"/>
          <w:sz w:val="18"/>
          <w:szCs w:val="18"/>
          <w:lang w:val="en-US"/>
        </w:rPr>
        <w:t>eur</w:t>
      </w:r>
      <w:proofErr w:type="spellEnd"/>
      <w:r w:rsidRPr="004A6162">
        <w:rPr>
          <w:rFonts w:ascii="Verdana" w:eastAsia="Open Sans" w:hAnsi="Verdana" w:cs="Open Sans"/>
          <w:sz w:val="18"/>
          <w:szCs w:val="18"/>
        </w:rPr>
        <w:t xml:space="preserve">ų metinę apyvartą pasiekusią įmonę. Tai proga prisidėti prie šios įmonės augimo bei tarptautinės plėtros. Finansinių išteklių pritraukimas kapitalo rinkoje Baltijos šalių įmonėms suteikia galimybę </w:t>
      </w:r>
      <w:r w:rsidRPr="004A6162">
        <w:rPr>
          <w:rFonts w:ascii="Verdana" w:eastAsia="Open Sans" w:hAnsi="Verdana" w:cs="Open Sans"/>
          <w:sz w:val="18"/>
          <w:szCs w:val="18"/>
        </w:rPr>
        <w:lastRenderedPageBreak/>
        <w:t>įgauti konkurencinį pranašumą ir augti sparčiau nei rinka“, – komentuoja Gediminas Norkūnas, „</w:t>
      </w:r>
      <w:proofErr w:type="spellStart"/>
      <w:r w:rsidRPr="004A6162">
        <w:rPr>
          <w:rFonts w:ascii="Verdana" w:eastAsia="Open Sans" w:hAnsi="Verdana" w:cs="Open Sans"/>
          <w:sz w:val="18"/>
          <w:szCs w:val="18"/>
        </w:rPr>
        <w:t>Luminor</w:t>
      </w:r>
      <w:proofErr w:type="spellEnd"/>
      <w:r w:rsidRPr="004A6162">
        <w:rPr>
          <w:rFonts w:ascii="Verdana" w:eastAsia="Open Sans" w:hAnsi="Verdana" w:cs="Open Sans"/>
          <w:sz w:val="18"/>
          <w:szCs w:val="18"/>
        </w:rPr>
        <w:t>“ banko vertybinių popierių emisijų organizavimo skyriaus vadovas.</w:t>
      </w:r>
    </w:p>
    <w:p w14:paraId="2F99EC22" w14:textId="77777777" w:rsidR="004A6162" w:rsidRPr="004A6162" w:rsidRDefault="004A6162" w:rsidP="004A6162">
      <w:pPr>
        <w:spacing w:after="120"/>
        <w:jc w:val="both"/>
        <w:rPr>
          <w:rFonts w:ascii="Verdana" w:eastAsia="Open Sans" w:hAnsi="Verdana" w:cs="Open Sans"/>
          <w:b/>
          <w:bCs/>
          <w:sz w:val="18"/>
          <w:szCs w:val="18"/>
        </w:rPr>
      </w:pPr>
      <w:r w:rsidRPr="004A6162">
        <w:rPr>
          <w:rFonts w:ascii="Verdana" w:eastAsia="Open Sans" w:hAnsi="Verdana" w:cs="Open Sans"/>
          <w:b/>
          <w:bCs/>
          <w:sz w:val="18"/>
          <w:szCs w:val="18"/>
        </w:rPr>
        <w:t>Apie „Civinity“</w:t>
      </w:r>
    </w:p>
    <w:p w14:paraId="3F04AC2B"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„Civinity“ yra viena didžiausių pastatų priežiūros, inžinerinių ir susijusių skaitmeninių paslaugų grupių Šiaurės Europos ir Baltijos regione. Grupė veikia Lietuvoje, Latvijoje ir Jungtinėje Karalystėje bei Pietų Europoje – Kroatijoje ir Slovėnijoje, administruoja daugiau kaip 5 mln. kv. m gyvenamojo ploto, aptarnauja daugiau kaip 1 600 komercinių klientų ir yra įgyvendinusi daugiau kaip 300 inžinerinių projektų. 2025 m. audituotos grupės pajamos siekė 100,4 mln. eurų, EBITDA – 8,3 mln. eurų.</w:t>
      </w:r>
    </w:p>
    <w:p w14:paraId="314DC2F7" w14:textId="77777777" w:rsidR="004A6162" w:rsidRPr="004A6162" w:rsidRDefault="004A6162" w:rsidP="004A6162">
      <w:pPr>
        <w:spacing w:after="120"/>
        <w:jc w:val="both"/>
        <w:rPr>
          <w:rFonts w:ascii="Verdana" w:eastAsia="Open Sans" w:hAnsi="Verdana" w:cs="Open Sans"/>
          <w:b/>
          <w:bCs/>
          <w:sz w:val="18"/>
          <w:szCs w:val="18"/>
        </w:rPr>
      </w:pPr>
      <w:r w:rsidRPr="004A6162">
        <w:rPr>
          <w:rFonts w:ascii="Verdana" w:eastAsia="Open Sans" w:hAnsi="Verdana" w:cs="Open Sans"/>
          <w:b/>
          <w:bCs/>
          <w:sz w:val="18"/>
          <w:szCs w:val="18"/>
        </w:rPr>
        <w:t>Apie „</w:t>
      </w:r>
      <w:proofErr w:type="spellStart"/>
      <w:r w:rsidRPr="004A6162">
        <w:rPr>
          <w:rFonts w:ascii="Verdana" w:eastAsia="Open Sans" w:hAnsi="Verdana" w:cs="Open Sans"/>
          <w:b/>
          <w:bCs/>
          <w:sz w:val="18"/>
          <w:szCs w:val="18"/>
        </w:rPr>
        <w:t>Luminor</w:t>
      </w:r>
      <w:proofErr w:type="spellEnd"/>
      <w:r w:rsidRPr="004A6162">
        <w:rPr>
          <w:rFonts w:ascii="Verdana" w:eastAsia="Open Sans" w:hAnsi="Verdana" w:cs="Open Sans"/>
          <w:b/>
          <w:bCs/>
          <w:sz w:val="18"/>
          <w:szCs w:val="18"/>
        </w:rPr>
        <w:t>“:</w:t>
      </w:r>
    </w:p>
    <w:p w14:paraId="0F3D534D"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w:t>
      </w:r>
      <w:proofErr w:type="spellStart"/>
      <w:r w:rsidRPr="004A6162">
        <w:rPr>
          <w:rFonts w:ascii="Verdana" w:eastAsia="Open Sans" w:hAnsi="Verdana" w:cs="Open Sans"/>
          <w:sz w:val="18"/>
          <w:szCs w:val="18"/>
        </w:rPr>
        <w:t>Luminor</w:t>
      </w:r>
      <w:proofErr w:type="spellEnd"/>
      <w:r w:rsidRPr="004A6162">
        <w:rPr>
          <w:rFonts w:ascii="Verdana" w:eastAsia="Open Sans" w:hAnsi="Verdana" w:cs="Open Sans"/>
          <w:sz w:val="18"/>
          <w:szCs w:val="18"/>
        </w:rPr>
        <w:t>“ yra pirmaujantis nepriklausomas bankas Baltijos šalyse ir trečias pagal dydį finansinių paslaugų tiekėjas regione. Bankas aptarnauja asmenų, šeimų ir verslo finansinius poreikius. „</w:t>
      </w:r>
      <w:proofErr w:type="spellStart"/>
      <w:r w:rsidRPr="004A6162">
        <w:rPr>
          <w:rFonts w:ascii="Verdana" w:eastAsia="Open Sans" w:hAnsi="Verdana" w:cs="Open Sans"/>
          <w:sz w:val="18"/>
          <w:szCs w:val="18"/>
        </w:rPr>
        <w:t>Luminor</w:t>
      </w:r>
      <w:proofErr w:type="spellEnd"/>
      <w:r w:rsidRPr="004A6162">
        <w:rPr>
          <w:rFonts w:ascii="Verdana" w:eastAsia="Open Sans" w:hAnsi="Verdana" w:cs="Open Sans"/>
          <w:sz w:val="18"/>
          <w:szCs w:val="18"/>
        </w:rPr>
        <w:t>“ siekia gerinti savo klientų ir namų rinkų finansinę sveikatą bei skatinti jų augimą.</w:t>
      </w:r>
    </w:p>
    <w:p w14:paraId="3EB17515" w14:textId="77777777" w:rsidR="004A6162" w:rsidRPr="004A6162" w:rsidRDefault="004A6162" w:rsidP="004A6162">
      <w:pPr>
        <w:spacing w:after="120"/>
        <w:jc w:val="both"/>
        <w:rPr>
          <w:rFonts w:ascii="Verdana" w:eastAsia="Open Sans" w:hAnsi="Verdana" w:cs="Open Sans"/>
          <w:sz w:val="18"/>
          <w:szCs w:val="18"/>
        </w:rPr>
      </w:pPr>
    </w:p>
    <w:p w14:paraId="38E584BD" w14:textId="77777777" w:rsidR="004A6162" w:rsidRPr="004A6162" w:rsidRDefault="004A6162" w:rsidP="004A6162">
      <w:pPr>
        <w:spacing w:after="120"/>
        <w:jc w:val="both"/>
        <w:rPr>
          <w:rFonts w:ascii="Verdana" w:eastAsia="Open Sans" w:hAnsi="Verdana" w:cs="Open Sans"/>
          <w:b/>
          <w:bCs/>
          <w:sz w:val="18"/>
          <w:szCs w:val="18"/>
        </w:rPr>
      </w:pPr>
      <w:r w:rsidRPr="004A6162">
        <w:rPr>
          <w:rFonts w:ascii="Verdana" w:eastAsia="Open Sans" w:hAnsi="Verdana" w:cs="Open Sans"/>
          <w:b/>
          <w:bCs/>
          <w:sz w:val="18"/>
          <w:szCs w:val="18"/>
        </w:rPr>
        <w:t>SVARBUS ĮSPĖJIMAS:</w:t>
      </w:r>
    </w:p>
    <w:p w14:paraId="582225E5"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 xml:space="preserve">Šis pranešimas nėra pasiūlymas arba kvietimas įsigyti Bendrovės vertybinių popierių ir nėra kaip nors su tokiu pasiūlymu arba kvietimu susijęs. Prospektas yra vienintelis teisiškai įpareigojantis dokumentas, kuriame pateikiama informacija apie Bendrovę, jos obligacijas, jų siūlymą Lietuvoje, Latvijoje ir Estijoje, taip pat įtraukimą į prekybą reguliuojamoje rinkoje. </w:t>
      </w:r>
    </w:p>
    <w:p w14:paraId="311496DD" w14:textId="77777777" w:rsidR="004A6162" w:rsidRPr="004A6162" w:rsidRDefault="004A6162" w:rsidP="004A6162">
      <w:pPr>
        <w:spacing w:after="120"/>
        <w:jc w:val="both"/>
        <w:rPr>
          <w:rFonts w:ascii="Verdana" w:eastAsia="Open Sans" w:hAnsi="Verdana" w:cs="Open Sans"/>
          <w:sz w:val="18"/>
          <w:szCs w:val="18"/>
        </w:rPr>
      </w:pPr>
      <w:r w:rsidRPr="004A6162">
        <w:rPr>
          <w:rFonts w:ascii="Verdana" w:eastAsia="Open Sans" w:hAnsi="Verdana" w:cs="Open Sans"/>
          <w:sz w:val="18"/>
          <w:szCs w:val="18"/>
        </w:rPr>
        <w:t xml:space="preserve">Bendrovės Prospektas (toliau – </w:t>
      </w:r>
      <w:r w:rsidRPr="004A6162">
        <w:rPr>
          <w:rFonts w:ascii="Verdana" w:eastAsia="Open Sans" w:hAnsi="Verdana" w:cs="Open Sans"/>
          <w:b/>
          <w:bCs/>
          <w:sz w:val="18"/>
          <w:szCs w:val="18"/>
        </w:rPr>
        <w:t>Prospektas</w:t>
      </w:r>
      <w:r w:rsidRPr="004A6162">
        <w:rPr>
          <w:rFonts w:ascii="Verdana" w:eastAsia="Open Sans" w:hAnsi="Verdana" w:cs="Open Sans"/>
          <w:sz w:val="18"/>
          <w:szCs w:val="18"/>
        </w:rPr>
        <w:t>) ir jo priedas yra paskelbtas Bendrovės interneto svetainėje </w:t>
      </w:r>
      <w:hyperlink r:id="rId10" w:history="1">
        <w:r w:rsidRPr="004A6162">
          <w:rPr>
            <w:rStyle w:val="Hyperlink"/>
            <w:rFonts w:ascii="Verdana" w:eastAsia="Open Sans" w:hAnsi="Verdana" w:cs="Open Sans"/>
            <w:sz w:val="18"/>
            <w:szCs w:val="18"/>
          </w:rPr>
          <w:t>https://www.civinity.com/investors/</w:t>
        </w:r>
      </w:hyperlink>
      <w:r w:rsidRPr="004A6162">
        <w:rPr>
          <w:rFonts w:ascii="Verdana" w:eastAsia="Open Sans" w:hAnsi="Verdana" w:cs="Open Sans"/>
          <w:sz w:val="18"/>
          <w:szCs w:val="18"/>
        </w:rPr>
        <w:t>, taip pat </w:t>
      </w:r>
      <w:hyperlink r:id="rId11" w:tgtFrame="_blank" w:history="1">
        <w:r w:rsidRPr="004A6162">
          <w:rPr>
            <w:rStyle w:val="Hyperlink"/>
            <w:rFonts w:ascii="Verdana" w:eastAsia="Open Sans" w:hAnsi="Verdana" w:cs="Open Sans"/>
            <w:sz w:val="18"/>
            <w:szCs w:val="18"/>
          </w:rPr>
          <w:t>www.nasdaqbaltic.com</w:t>
        </w:r>
      </w:hyperlink>
      <w:r w:rsidRPr="004A6162">
        <w:rPr>
          <w:rFonts w:ascii="Verdana" w:eastAsia="Open Sans" w:hAnsi="Verdana" w:cs="Open Sans"/>
          <w:sz w:val="18"/>
          <w:szCs w:val="18"/>
        </w:rPr>
        <w:t> ir </w:t>
      </w:r>
      <w:hyperlink r:id="rId12" w:tgtFrame="_blank" w:history="1">
        <w:r w:rsidRPr="004A6162">
          <w:rPr>
            <w:rStyle w:val="Hyperlink"/>
            <w:rFonts w:ascii="Verdana" w:eastAsia="Open Sans" w:hAnsi="Verdana" w:cs="Open Sans"/>
            <w:sz w:val="18"/>
            <w:szCs w:val="18"/>
          </w:rPr>
          <w:t>www.crib.lt</w:t>
        </w:r>
      </w:hyperlink>
      <w:r w:rsidRPr="004A6162">
        <w:rPr>
          <w:rFonts w:ascii="Verdana" w:eastAsia="Open Sans" w:hAnsi="Verdana" w:cs="Open Sans"/>
          <w:sz w:val="18"/>
          <w:szCs w:val="18"/>
        </w:rPr>
        <w:t>.</w:t>
      </w:r>
    </w:p>
    <w:p w14:paraId="3530FED5" w14:textId="7DEC5980" w:rsidR="006823BA" w:rsidRPr="004E5721" w:rsidRDefault="004A6162" w:rsidP="004A6162">
      <w:pPr>
        <w:spacing w:after="120"/>
        <w:jc w:val="both"/>
        <w:rPr>
          <w:rFonts w:ascii="Verdana" w:eastAsia="Open Sans" w:hAnsi="Verdana" w:cs="Open Sans"/>
          <w:sz w:val="18"/>
          <w:szCs w:val="18"/>
          <w:lang w:val="en-LT"/>
        </w:rPr>
      </w:pPr>
      <w:r w:rsidRPr="004A6162">
        <w:rPr>
          <w:rFonts w:ascii="Verdana" w:eastAsia="Open Sans" w:hAnsi="Verdana" w:cs="Open Sans"/>
          <w:sz w:val="18"/>
          <w:szCs w:val="18"/>
        </w:rPr>
        <w:t>Prospekto ir jo priedo patvirtinimas neturėtų būti laikomas į prekybos reguliuojamoje rinkoje sąrašą įtraukiamų obligacijų kokybės patvirtinimu. Galimiems investuotojams rekomenduojama prieš priimant investavimo sprendimą perskaityti Prospektą, kad jie suprastų visą su sprendimu investuoti į obligacijas susijusią galimą riziką ir grąžą.</w:t>
      </w:r>
    </w:p>
    <w:p w14:paraId="37CA5DB7" w14:textId="77777777" w:rsidR="00726E64" w:rsidRPr="00DB1932"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DB1932" w:rsidRDefault="00726E64" w:rsidP="00726E64">
      <w:pPr>
        <w:spacing w:after="120"/>
        <w:jc w:val="both"/>
        <w:rPr>
          <w:rFonts w:ascii="Verdana" w:eastAsia="Open Sans" w:hAnsi="Verdana" w:cs="Open Sans"/>
          <w:color w:val="3A3A3A" w:themeColor="background2" w:themeShade="40"/>
          <w:sz w:val="16"/>
          <w:szCs w:val="16"/>
        </w:rPr>
      </w:pPr>
      <w:r w:rsidRPr="00DB1932">
        <w:rPr>
          <w:rFonts w:ascii="Verdana" w:eastAsia="Open Sans" w:hAnsi="Verdana" w:cs="Open Sans"/>
          <w:b/>
          <w:bCs/>
          <w:color w:val="3A3A3A" w:themeColor="background2" w:themeShade="40"/>
          <w:sz w:val="16"/>
          <w:szCs w:val="16"/>
        </w:rPr>
        <w:t>Dau</w:t>
      </w:r>
      <w:r w:rsidR="0050066A" w:rsidRPr="00DB1932">
        <w:rPr>
          <w:rFonts w:ascii="Verdana" w:eastAsia="Open Sans" w:hAnsi="Verdana" w:cs="Open Sans"/>
          <w:b/>
          <w:bCs/>
          <w:color w:val="3A3A3A" w:themeColor="background2" w:themeShade="40"/>
          <w:sz w:val="16"/>
          <w:szCs w:val="16"/>
        </w:rPr>
        <w:t>giau informacijos:</w:t>
      </w:r>
    </w:p>
    <w:p w14:paraId="4518B123"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Rytas Stalnionis</w:t>
      </w:r>
    </w:p>
    <w:p w14:paraId="5F5073A4"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Strateginės komunikacijos vadovas</w:t>
      </w:r>
    </w:p>
    <w:p w14:paraId="2C7131F2"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Tel.: +370 614 01 829</w:t>
      </w:r>
    </w:p>
    <w:p w14:paraId="0D95E2D0"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 xml:space="preserve">El. paštas </w:t>
      </w:r>
      <w:hyperlink r:id="rId13" w:history="1">
        <w:r w:rsidRPr="00DB1932">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DB1932" w:rsidRDefault="00712657" w:rsidP="0050066A">
      <w:pPr>
        <w:ind w:left="-6"/>
        <w:rPr>
          <w:rFonts w:ascii="Verdana" w:eastAsia="Open Sans" w:hAnsi="Verdana" w:cs="Open Sans"/>
          <w:color w:val="3A3A3A" w:themeColor="background2" w:themeShade="40"/>
          <w:sz w:val="16"/>
          <w:szCs w:val="16"/>
        </w:rPr>
      </w:pPr>
      <w:hyperlink r:id="rId14" w:history="1">
        <w:r w:rsidRPr="00DB1932">
          <w:rPr>
            <w:rStyle w:val="Hyperlink"/>
            <w:rFonts w:ascii="Verdana" w:eastAsia="Open Sans" w:hAnsi="Verdana" w:cs="Open Sans"/>
            <w:b/>
            <w:bCs/>
            <w:sz w:val="16"/>
            <w:szCs w:val="16"/>
          </w:rPr>
          <w:t>www.civinity.com</w:t>
        </w:r>
      </w:hyperlink>
    </w:p>
    <w:sectPr w:rsidR="00712657" w:rsidRPr="00DB1932" w:rsidSect="00C706B9">
      <w:headerReference w:type="default" r:id="rId15"/>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1AED4" w14:textId="77777777" w:rsidR="00096E5D" w:rsidRDefault="00096E5D">
      <w:r>
        <w:separator/>
      </w:r>
    </w:p>
  </w:endnote>
  <w:endnote w:type="continuationSeparator" w:id="0">
    <w:p w14:paraId="6B8B65EF" w14:textId="77777777" w:rsidR="00096E5D" w:rsidRDefault="00096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F9ABD" w14:textId="77777777" w:rsidR="00096E5D" w:rsidRDefault="00096E5D">
      <w:r>
        <w:separator/>
      </w:r>
    </w:p>
  </w:footnote>
  <w:footnote w:type="continuationSeparator" w:id="0">
    <w:p w14:paraId="19642989" w14:textId="77777777" w:rsidR="00096E5D" w:rsidRDefault="00096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4709"/>
    <w:multiLevelType w:val="hybridMultilevel"/>
    <w:tmpl w:val="C042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E02F8"/>
    <w:multiLevelType w:val="hybridMultilevel"/>
    <w:tmpl w:val="01BE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66812"/>
    <w:multiLevelType w:val="hybridMultilevel"/>
    <w:tmpl w:val="D792AD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5"/>
  </w:num>
  <w:num w:numId="2" w16cid:durableId="1858958588">
    <w:abstractNumId w:val="4"/>
  </w:num>
  <w:num w:numId="3" w16cid:durableId="1935092161">
    <w:abstractNumId w:val="1"/>
  </w:num>
  <w:num w:numId="4" w16cid:durableId="849415403">
    <w:abstractNumId w:val="2"/>
  </w:num>
  <w:num w:numId="5" w16cid:durableId="398287935">
    <w:abstractNumId w:val="0"/>
  </w:num>
  <w:num w:numId="6" w16cid:durableId="1269894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20B1B"/>
    <w:rsid w:val="000213FF"/>
    <w:rsid w:val="0004204D"/>
    <w:rsid w:val="00055678"/>
    <w:rsid w:val="000636A0"/>
    <w:rsid w:val="0006387A"/>
    <w:rsid w:val="0006602E"/>
    <w:rsid w:val="00072C77"/>
    <w:rsid w:val="00077104"/>
    <w:rsid w:val="00084BE5"/>
    <w:rsid w:val="000962C7"/>
    <w:rsid w:val="00096E5D"/>
    <w:rsid w:val="000D12A5"/>
    <w:rsid w:val="000E0DAE"/>
    <w:rsid w:val="000E153A"/>
    <w:rsid w:val="000E4D09"/>
    <w:rsid w:val="000F2D31"/>
    <w:rsid w:val="00111FE2"/>
    <w:rsid w:val="0011607C"/>
    <w:rsid w:val="00123E72"/>
    <w:rsid w:val="00123E82"/>
    <w:rsid w:val="001454E0"/>
    <w:rsid w:val="0015136E"/>
    <w:rsid w:val="00161834"/>
    <w:rsid w:val="001A656C"/>
    <w:rsid w:val="001B0832"/>
    <w:rsid w:val="001C1442"/>
    <w:rsid w:val="001C1789"/>
    <w:rsid w:val="001E2CD3"/>
    <w:rsid w:val="001F1275"/>
    <w:rsid w:val="001F729E"/>
    <w:rsid w:val="00202165"/>
    <w:rsid w:val="002041AB"/>
    <w:rsid w:val="00204317"/>
    <w:rsid w:val="002061FB"/>
    <w:rsid w:val="00211523"/>
    <w:rsid w:val="00211A3A"/>
    <w:rsid w:val="00216BEC"/>
    <w:rsid w:val="002248DE"/>
    <w:rsid w:val="00226924"/>
    <w:rsid w:val="00226E4E"/>
    <w:rsid w:val="0023061F"/>
    <w:rsid w:val="002354CB"/>
    <w:rsid w:val="00237F88"/>
    <w:rsid w:val="002419CE"/>
    <w:rsid w:val="002443A4"/>
    <w:rsid w:val="00253753"/>
    <w:rsid w:val="002A32B2"/>
    <w:rsid w:val="002A611A"/>
    <w:rsid w:val="002E1EA8"/>
    <w:rsid w:val="002E4F17"/>
    <w:rsid w:val="002E5A29"/>
    <w:rsid w:val="002E7B5A"/>
    <w:rsid w:val="003004DC"/>
    <w:rsid w:val="003013F1"/>
    <w:rsid w:val="00302387"/>
    <w:rsid w:val="00305611"/>
    <w:rsid w:val="00317A87"/>
    <w:rsid w:val="00321751"/>
    <w:rsid w:val="00326B6F"/>
    <w:rsid w:val="00335DCC"/>
    <w:rsid w:val="00344F7B"/>
    <w:rsid w:val="00356019"/>
    <w:rsid w:val="00362F87"/>
    <w:rsid w:val="00365D5B"/>
    <w:rsid w:val="00367E47"/>
    <w:rsid w:val="00372DC6"/>
    <w:rsid w:val="003A55C0"/>
    <w:rsid w:val="003B2ADD"/>
    <w:rsid w:val="003C003B"/>
    <w:rsid w:val="003D046C"/>
    <w:rsid w:val="003E24E2"/>
    <w:rsid w:val="003F2B29"/>
    <w:rsid w:val="00404095"/>
    <w:rsid w:val="00443752"/>
    <w:rsid w:val="00450A97"/>
    <w:rsid w:val="00455384"/>
    <w:rsid w:val="00473813"/>
    <w:rsid w:val="00496A12"/>
    <w:rsid w:val="004A6162"/>
    <w:rsid w:val="004D6132"/>
    <w:rsid w:val="004E5721"/>
    <w:rsid w:val="004E63E6"/>
    <w:rsid w:val="004F0C36"/>
    <w:rsid w:val="0050066A"/>
    <w:rsid w:val="00502177"/>
    <w:rsid w:val="005058C5"/>
    <w:rsid w:val="005217E7"/>
    <w:rsid w:val="0052614C"/>
    <w:rsid w:val="005277DA"/>
    <w:rsid w:val="005612B6"/>
    <w:rsid w:val="005746E0"/>
    <w:rsid w:val="005779B4"/>
    <w:rsid w:val="005B4564"/>
    <w:rsid w:val="005C44DE"/>
    <w:rsid w:val="005D1672"/>
    <w:rsid w:val="005D38C0"/>
    <w:rsid w:val="00621156"/>
    <w:rsid w:val="00625B8D"/>
    <w:rsid w:val="006300F7"/>
    <w:rsid w:val="00632DAC"/>
    <w:rsid w:val="00680D9A"/>
    <w:rsid w:val="006823BA"/>
    <w:rsid w:val="00684C9E"/>
    <w:rsid w:val="00687440"/>
    <w:rsid w:val="00697F56"/>
    <w:rsid w:val="006A0558"/>
    <w:rsid w:val="006B5FD6"/>
    <w:rsid w:val="006D1050"/>
    <w:rsid w:val="006E0169"/>
    <w:rsid w:val="006E2723"/>
    <w:rsid w:val="006F45AB"/>
    <w:rsid w:val="006F7D20"/>
    <w:rsid w:val="00712657"/>
    <w:rsid w:val="00714E9F"/>
    <w:rsid w:val="00726E64"/>
    <w:rsid w:val="0075672B"/>
    <w:rsid w:val="00793557"/>
    <w:rsid w:val="00794B19"/>
    <w:rsid w:val="007958A4"/>
    <w:rsid w:val="007A7121"/>
    <w:rsid w:val="007B1FEF"/>
    <w:rsid w:val="007B5E90"/>
    <w:rsid w:val="007B7543"/>
    <w:rsid w:val="007C1C04"/>
    <w:rsid w:val="007C7484"/>
    <w:rsid w:val="007D2C46"/>
    <w:rsid w:val="007E294E"/>
    <w:rsid w:val="00804227"/>
    <w:rsid w:val="00821DBF"/>
    <w:rsid w:val="008413F1"/>
    <w:rsid w:val="00844BFA"/>
    <w:rsid w:val="008514B7"/>
    <w:rsid w:val="00867743"/>
    <w:rsid w:val="00874CE8"/>
    <w:rsid w:val="008818F6"/>
    <w:rsid w:val="00885B6A"/>
    <w:rsid w:val="008863B1"/>
    <w:rsid w:val="00891115"/>
    <w:rsid w:val="00896FEA"/>
    <w:rsid w:val="008A6E34"/>
    <w:rsid w:val="008B43E1"/>
    <w:rsid w:val="008B5E99"/>
    <w:rsid w:val="008C0A1D"/>
    <w:rsid w:val="008C0ECA"/>
    <w:rsid w:val="008E2FB4"/>
    <w:rsid w:val="0090323A"/>
    <w:rsid w:val="00926AB2"/>
    <w:rsid w:val="00926C92"/>
    <w:rsid w:val="009419C1"/>
    <w:rsid w:val="0094232A"/>
    <w:rsid w:val="00944237"/>
    <w:rsid w:val="0094659E"/>
    <w:rsid w:val="009544C8"/>
    <w:rsid w:val="009701F5"/>
    <w:rsid w:val="00993572"/>
    <w:rsid w:val="009939E1"/>
    <w:rsid w:val="009A2925"/>
    <w:rsid w:val="009A4ED8"/>
    <w:rsid w:val="009B19C8"/>
    <w:rsid w:val="009B70E2"/>
    <w:rsid w:val="009B7E14"/>
    <w:rsid w:val="009C4598"/>
    <w:rsid w:val="009C5A68"/>
    <w:rsid w:val="009C7F3F"/>
    <w:rsid w:val="009D01FC"/>
    <w:rsid w:val="009D5414"/>
    <w:rsid w:val="009D7835"/>
    <w:rsid w:val="009E643F"/>
    <w:rsid w:val="009F28A4"/>
    <w:rsid w:val="009F6837"/>
    <w:rsid w:val="00A059C7"/>
    <w:rsid w:val="00A10F6B"/>
    <w:rsid w:val="00A355E5"/>
    <w:rsid w:val="00A37FB7"/>
    <w:rsid w:val="00A56A53"/>
    <w:rsid w:val="00A62E12"/>
    <w:rsid w:val="00A6317E"/>
    <w:rsid w:val="00A74C69"/>
    <w:rsid w:val="00A841F6"/>
    <w:rsid w:val="00A90A8A"/>
    <w:rsid w:val="00A9149D"/>
    <w:rsid w:val="00A96455"/>
    <w:rsid w:val="00AA3391"/>
    <w:rsid w:val="00AC306B"/>
    <w:rsid w:val="00AE335E"/>
    <w:rsid w:val="00AF101C"/>
    <w:rsid w:val="00AF70A2"/>
    <w:rsid w:val="00B064B4"/>
    <w:rsid w:val="00B427C6"/>
    <w:rsid w:val="00B44F51"/>
    <w:rsid w:val="00B45712"/>
    <w:rsid w:val="00B50D18"/>
    <w:rsid w:val="00B5513F"/>
    <w:rsid w:val="00B61F9F"/>
    <w:rsid w:val="00B73556"/>
    <w:rsid w:val="00B775DB"/>
    <w:rsid w:val="00B81982"/>
    <w:rsid w:val="00B876F0"/>
    <w:rsid w:val="00B96CED"/>
    <w:rsid w:val="00BA47BD"/>
    <w:rsid w:val="00BB0D04"/>
    <w:rsid w:val="00BC2221"/>
    <w:rsid w:val="00BC49AD"/>
    <w:rsid w:val="00BC4DA1"/>
    <w:rsid w:val="00BF4B80"/>
    <w:rsid w:val="00BF6B8A"/>
    <w:rsid w:val="00C07391"/>
    <w:rsid w:val="00C32916"/>
    <w:rsid w:val="00C56502"/>
    <w:rsid w:val="00C706B9"/>
    <w:rsid w:val="00C91765"/>
    <w:rsid w:val="00CA3006"/>
    <w:rsid w:val="00CA7B55"/>
    <w:rsid w:val="00CB2058"/>
    <w:rsid w:val="00CC19A7"/>
    <w:rsid w:val="00CE1293"/>
    <w:rsid w:val="00D24ACA"/>
    <w:rsid w:val="00D43EC1"/>
    <w:rsid w:val="00D53E3A"/>
    <w:rsid w:val="00D67221"/>
    <w:rsid w:val="00D82DAC"/>
    <w:rsid w:val="00D93BAC"/>
    <w:rsid w:val="00DB1932"/>
    <w:rsid w:val="00DC305D"/>
    <w:rsid w:val="00DC67DB"/>
    <w:rsid w:val="00DE3369"/>
    <w:rsid w:val="00DE3D14"/>
    <w:rsid w:val="00DF62A5"/>
    <w:rsid w:val="00E02BE7"/>
    <w:rsid w:val="00E12571"/>
    <w:rsid w:val="00E5309B"/>
    <w:rsid w:val="00E53A5C"/>
    <w:rsid w:val="00E6086B"/>
    <w:rsid w:val="00E72F4E"/>
    <w:rsid w:val="00E8046E"/>
    <w:rsid w:val="00E869B0"/>
    <w:rsid w:val="00E9154B"/>
    <w:rsid w:val="00E91CA4"/>
    <w:rsid w:val="00ED432F"/>
    <w:rsid w:val="00EE5181"/>
    <w:rsid w:val="00EF6B23"/>
    <w:rsid w:val="00F408AA"/>
    <w:rsid w:val="00F460DB"/>
    <w:rsid w:val="00F461C9"/>
    <w:rsid w:val="00F614FB"/>
    <w:rsid w:val="00F6561D"/>
    <w:rsid w:val="00F83D3B"/>
    <w:rsid w:val="00F85BD4"/>
    <w:rsid w:val="00F90C9A"/>
    <w:rsid w:val="00F925A5"/>
    <w:rsid w:val="00F9294D"/>
    <w:rsid w:val="00FA7DD6"/>
    <w:rsid w:val="00FB7F01"/>
    <w:rsid w:val="00FC38EB"/>
    <w:rsid w:val="00FC7AC6"/>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ytas.stalnionis@civinity.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lobenewswire.com/Tracker?data=roR-65UNHYAl3-NhhRkijzQ20pIeyUCjTdRwOaESBRj0tlBqSEK4vgO_XitIRrMgm6kLVatgFg-daZuBbiU9X2cPTFksNESXarqNXpjNe98WqzUMoDmeOgL9N-3Xk4R8rrMy0tPnuW6DQc0n2Ti5uhUlgfP5y7MpJn9f3ixesr4_WpYjC_V_D-rCyJba0308hGDiK2vEFcEEGSHKHtsLM1g7o9PcJAlt7wkwXrFwOpmgh7UkIxVYT8SEVUaDWy5N47AWanXTlSoe0_T5NoK4IBEd3B82D0opNbi9FN_buXOP8uyF9CYBW8qRx6ZYUgOW05LCV9D2VIaa9iofXFiGHMMeBkcdUFUsDS_fpSdifbSGXVMGcTccZUj3t6WOTTpGpeNkgCNdt-7-rfvzF5H9MeGubPBh87Xt0GRGfxMLFHG_JM39e9PB89voEjkpd8xAAvFW0HkPnNfPDP9mkmkMz6EpIJ4SnAsK2nr8yv4IlJCXGVDEEEtllPLm2YswdNfIhdc_xrUcHXwQ4zoD3bK45gXxKIKU206KuJekHphnzS1N_-i__CTCayR_2iFOzNwaPbuz04JVY-8HkF8VzC2rZbIapA01lmpkTpjZPkExKkkWNdWUZwHJ5yQTWwRT-JS-w90eYAdiNlyLb4ThZu8CnwuXXZkm8rb_EfEWux3Z3_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lobenewswire.com/Tracker?data=roR-65UNHYAl3-NhhRkij0cNGfJ8BZ8LJlmy3nbC6pd7-MBxB6vwUg2Z72LX938wGRqCD1rdshZXUc_8k1OhoTGM2At19huNzASM4CUymbXZyWbOtRqMFk12QgbxLHeD8lltq5jpuLxs_s3qXDjjQz7KFBXbClbJ4sY8itlH-HkinqXh8E17Pzom2bAlBA0rW7AYFhSgrGOlzcjxEkdb2j04j7jeFgDjo-pqwpvQ9ASMvP_nu0ZUWTTyDU1moz2Iwj9U7IcwCT22ant_J9TXbGUCjaFaeZCJbdqEnc8VWS0eTBSQnPPKZnZWrslYRVUYjfD_c2RJsOLvuEh4rUVFlyjRHh3lUPqYIV7QbUfsCuwLziQc-pCPqWJBi9n7e6zej2Si8X-gipdnZoNiESK5X-aMjzmYOXYRdg8AKETGaumyFSEvANrRVkUnF7KPq0YfLcVDNz6I9PCgG3t9Bw9N-X17cxbOn6KvRH8zwgndKbnaF2Rkr4gjFRAbf3XuoR8bgniq1OIkufraxQtwpi4YW0TCoXpPhxwrv3vGCjXYZnEbNpLwC-5-7AKCmvdbKN3HOPJqv_Ktn4STk_cMxSaTZLOsMqlksbDkNdMpXK3Iiw0crQwrmJ_kA1U1cin-l6YtIEzcmKD1HeHh1GLQJXtgGJCdInkizEIJriSLPRGoadF5_w774W3tqqMaVoJUaJBnrQkOdr8JAsmJjHH6nxP7jfnbKbC954GezM_py-UZ70u4TZ-FFwP7NxNBx1GUF6ZEvV6fHBdh8Y_tbZx1eizdd1J_m9lOhTJMEcfjTsWSad4="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civinity.com/investo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ivinity.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3.xml><?xml version="1.0" encoding="utf-8"?>
<ds:datastoreItem xmlns:ds="http://schemas.openxmlformats.org/officeDocument/2006/customXml" ds:itemID="{3A8FFE5C-D2E4-4330-8738-F6503366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5</cp:revision>
  <dcterms:created xsi:type="dcterms:W3CDTF">2026-05-26T15:04:00Z</dcterms:created>
  <dcterms:modified xsi:type="dcterms:W3CDTF">2026-05-26T15:05:00Z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