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2" w14:textId="7B25D8E6" w:rsidR="00F32248" w:rsidRPr="006348B8" w:rsidRDefault="00000000" w:rsidP="006348B8">
      <w:pPr>
        <w:jc w:val="right"/>
        <w:rPr>
          <w:rFonts w:ascii="Times New Roman" w:eastAsia="Times New Roman" w:hAnsi="Times New Roman" w:cs="Times New Roman"/>
          <w:b/>
          <w:bCs/>
        </w:rPr>
      </w:pPr>
      <w:r>
        <w:rPr>
          <w:rFonts w:ascii="Times New Roman" w:eastAsia="Times New Roman" w:hAnsi="Times New Roman" w:cs="Times New Roman"/>
          <w:b/>
          <w:bCs/>
        </w:rPr>
        <w:t>2026 06 02</w:t>
      </w:r>
    </w:p>
    <w:p w14:paraId="0000000B" w14:textId="77777777" w:rsidR="00F32248" w:rsidRDefault="00F32248" w:rsidP="00A67F04">
      <w:pPr>
        <w:rPr>
          <w:rFonts w:ascii="Times New Roman" w:eastAsia="Times New Roman" w:hAnsi="Times New Roman" w:cs="Times New Roman"/>
          <w:b/>
          <w:bCs/>
        </w:rPr>
      </w:pPr>
    </w:p>
    <w:p w14:paraId="0000000C" w14:textId="6EA97997" w:rsidR="00F32248" w:rsidRDefault="00000000">
      <w:pPr>
        <w:jc w:val="center"/>
        <w:rPr>
          <w:rFonts w:ascii="Times New Roman" w:eastAsia="Times New Roman" w:hAnsi="Times New Roman" w:cs="Times New Roman"/>
          <w:b/>
          <w:bCs/>
        </w:rPr>
      </w:pPr>
      <w:sdt>
        <w:sdtPr>
          <w:tag w:val="goog_rdk_1"/>
          <w:id w:val="-742730774"/>
          <w:showingPlcHdr/>
        </w:sdtPr>
        <w:sdtContent>
          <w:r w:rsidR="00A07B61">
            <w:t xml:space="preserve">     </w:t>
          </w:r>
        </w:sdtContent>
      </w:sdt>
      <w:r>
        <w:rPr>
          <w:rFonts w:ascii="Times New Roman" w:eastAsia="Times New Roman" w:hAnsi="Times New Roman" w:cs="Times New Roman"/>
          <w:b/>
          <w:bCs/>
        </w:rPr>
        <w:t>DI nepadeda, o tik nuvilia? Gali būti, kad darote vieną klaidą</w:t>
      </w:r>
    </w:p>
    <w:p w14:paraId="0000000D" w14:textId="77777777" w:rsidR="00F32248" w:rsidRDefault="00F32248">
      <w:pPr>
        <w:rPr>
          <w:rFonts w:ascii="Times New Roman" w:eastAsia="Times New Roman" w:hAnsi="Times New Roman" w:cs="Times New Roman"/>
        </w:rPr>
      </w:pPr>
    </w:p>
    <w:p w14:paraId="0000000E" w14:textId="174BA303" w:rsidR="00F32248" w:rsidRDefault="00196C94">
      <w:pPr>
        <w:pBdr>
          <w:top w:val="nil"/>
          <w:left w:val="nil"/>
          <w:bottom w:val="nil"/>
          <w:right w:val="nil"/>
          <w:between w:val="nil"/>
        </w:pBdr>
        <w:jc w:val="both"/>
        <w:rPr>
          <w:rFonts w:ascii="Times New Roman" w:eastAsia="Times New Roman" w:hAnsi="Times New Roman" w:cs="Times New Roman"/>
          <w:color w:val="000000"/>
        </w:rPr>
      </w:pPr>
      <w:r w:rsidRPr="00196C94">
        <w:rPr>
          <w:rFonts w:ascii="Times New Roman" w:eastAsia="Times New Roman" w:hAnsi="Times New Roman" w:cs="Times New Roman"/>
          <w:b/>
          <w:bCs/>
        </w:rPr>
        <w:t>Nors generatyvinio dirbtinio intelekto įrankiai plačiajai auditorijai prieinami jau kelerius metus, daugelis vartotojų vis dar nusivilia gaunamais atsakymais.</w:t>
      </w:r>
      <w:r>
        <w:rPr>
          <w:rFonts w:ascii="Times New Roman" w:eastAsia="Times New Roman" w:hAnsi="Times New Roman" w:cs="Times New Roman"/>
          <w:b/>
          <w:bCs/>
        </w:rPr>
        <w:t xml:space="preserve"> </w:t>
      </w:r>
      <w:r w:rsidR="00000000">
        <w:rPr>
          <w:rFonts w:ascii="Times New Roman" w:eastAsia="Times New Roman" w:hAnsi="Times New Roman" w:cs="Times New Roman"/>
          <w:b/>
          <w:bCs/>
        </w:rPr>
        <w:t>Pasak „Tele2“ klientų duomenų analizės ir įžvalgų vadovės Ingos Rudinskaitės, efektyvus bendravimas su DI tampa nauju įgūdžiu, kurio reikia mokytis, o geriausius rezultatus dažniausiai pasiekia tie, kurie neturi lūkesčio, kad dirbtinis intelektas skaito jūsų mintis.</w:t>
      </w:r>
    </w:p>
    <w:p w14:paraId="0000000F" w14:textId="77777777" w:rsidR="00F32248" w:rsidRDefault="00F32248">
      <w:pPr>
        <w:pBdr>
          <w:top w:val="nil"/>
          <w:left w:val="nil"/>
          <w:bottom w:val="nil"/>
          <w:right w:val="nil"/>
          <w:between w:val="nil"/>
        </w:pBdr>
        <w:jc w:val="both"/>
        <w:rPr>
          <w:rFonts w:ascii="Times New Roman" w:eastAsia="Times New Roman" w:hAnsi="Times New Roman" w:cs="Times New Roman"/>
        </w:rPr>
      </w:pPr>
    </w:p>
    <w:p w14:paraId="00000010" w14:textId="77777777" w:rsidR="00F32248" w:rsidRDefault="00000000">
      <w:pPr>
        <w:rPr>
          <w:rFonts w:ascii="Times New Roman" w:eastAsia="Times New Roman" w:hAnsi="Times New Roman" w:cs="Times New Roman"/>
          <w:b/>
          <w:bCs/>
          <w:color w:val="000000"/>
        </w:rPr>
      </w:pPr>
      <w:r>
        <w:rPr>
          <w:rFonts w:ascii="Times New Roman" w:eastAsia="Times New Roman" w:hAnsi="Times New Roman" w:cs="Times New Roman"/>
          <w:b/>
          <w:bCs/>
          <w:color w:val="000000"/>
        </w:rPr>
        <w:t>Kuo aiškesnė užduotis – tuo geresnis rezultatas</w:t>
      </w:r>
    </w:p>
    <w:p w14:paraId="00000011" w14:textId="77777777" w:rsidR="00F32248" w:rsidRDefault="00F32248">
      <w:pPr>
        <w:rPr>
          <w:rFonts w:ascii="Times New Roman" w:eastAsia="Times New Roman" w:hAnsi="Times New Roman" w:cs="Times New Roman"/>
        </w:rPr>
      </w:pPr>
    </w:p>
    <w:p w14:paraId="00000012" w14:textId="77777777" w:rsidR="00F32248" w:rsidRDefault="00000000">
      <w:pPr>
        <w:pStyle w:val="Heading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Vienas paprasčiausių ir kartu efektyviausių būdų pagerinti atsakymo kokybę – pačioje užklausos pradžioje nurodyti, koks specialistas turėtų „kalbėti“.</w:t>
      </w:r>
    </w:p>
    <w:p w14:paraId="00000013" w14:textId="77777777" w:rsidR="00F32248" w:rsidRDefault="00F32248"/>
    <w:p w14:paraId="00000014" w14:textId="4E09F122" w:rsidR="00F32248" w:rsidRDefault="00000000">
      <w:pPr>
        <w:pStyle w:val="Heading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„Jeigu užklausą pradėsite fraze „Tu esi patyręs rinkodaros specialistas“ arba „Atsakyk kaip mokytojas, </w:t>
      </w:r>
      <w:r w:rsidR="00196C94" w:rsidRPr="00196C94">
        <w:rPr>
          <w:rFonts w:ascii="Times New Roman" w:eastAsia="Times New Roman" w:hAnsi="Times New Roman" w:cs="Times New Roman"/>
          <w:color w:val="000000"/>
          <w:sz w:val="24"/>
          <w:szCs w:val="24"/>
        </w:rPr>
        <w:t>aiškinantis temą dešimtmečiui</w:t>
      </w:r>
      <w:r>
        <w:rPr>
          <w:rFonts w:ascii="Times New Roman" w:eastAsia="Times New Roman" w:hAnsi="Times New Roman" w:cs="Times New Roman"/>
          <w:color w:val="000000"/>
          <w:sz w:val="24"/>
          <w:szCs w:val="24"/>
        </w:rPr>
        <w:t>“, DI atsakymo tonas, žodynas ir gylis pasikeis iš esmės. Tai labai paprasta technika, tačiau ji vienu sakiniu pateikia daugybę konteksto, kurio kitaip reikėtų ilgai aprašinėti</w:t>
      </w:r>
      <w:r w:rsidR="00A67F04">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 sako I. Rudinskaitė.</w:t>
      </w:r>
    </w:p>
    <w:p w14:paraId="00000015" w14:textId="77777777" w:rsidR="00F32248" w:rsidRDefault="00F32248">
      <w:pPr>
        <w:pStyle w:val="Heading2"/>
        <w:jc w:val="both"/>
        <w:rPr>
          <w:rFonts w:ascii="Times New Roman" w:eastAsia="Times New Roman" w:hAnsi="Times New Roman" w:cs="Times New Roman"/>
          <w:color w:val="000000"/>
          <w:sz w:val="24"/>
          <w:szCs w:val="24"/>
        </w:rPr>
      </w:pPr>
    </w:p>
    <w:p w14:paraId="00000016" w14:textId="77777777" w:rsidR="00F32248" w:rsidRDefault="00000000">
      <w:pPr>
        <w:pStyle w:val="Heading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Pasak I. Rudinskaitės, tam dažnai naudojamas vadinamasis G.I.O. (angl. goal, input, output) principas. Kitaip tariant, žmogus turėtų kuo aiškiau įvardyti, koks yra užduoties tikslas, kokia informacija turi būti naudojama ir kokio rezultato tikimasi.</w:t>
      </w:r>
    </w:p>
    <w:p w14:paraId="00000017" w14:textId="77777777" w:rsidR="00F32248" w:rsidRDefault="00F32248">
      <w:pPr>
        <w:pStyle w:val="Heading2"/>
        <w:jc w:val="both"/>
        <w:rPr>
          <w:rFonts w:ascii="Times New Roman" w:eastAsia="Times New Roman" w:hAnsi="Times New Roman" w:cs="Times New Roman"/>
          <w:color w:val="000000"/>
          <w:sz w:val="24"/>
          <w:szCs w:val="24"/>
        </w:rPr>
      </w:pPr>
    </w:p>
    <w:p w14:paraId="00000018" w14:textId="77777777" w:rsidR="00F32248" w:rsidRDefault="00000000">
      <w:pPr>
        <w:pStyle w:val="Heading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„DI reikėtų vertinti kaip naują kolegą, kuris dar neturi viso konteksto. Jeigu užduotis pateikiama aiškiai, rezultatas dažniausiai būna daug tikslesnis ir naudingesnis“, – sako ekspertė.</w:t>
      </w:r>
    </w:p>
    <w:p w14:paraId="00000019" w14:textId="77777777" w:rsidR="00F32248" w:rsidRDefault="00F32248">
      <w:pPr>
        <w:pStyle w:val="Heading2"/>
        <w:jc w:val="both"/>
        <w:rPr>
          <w:rFonts w:ascii="Times New Roman" w:eastAsia="Times New Roman" w:hAnsi="Times New Roman" w:cs="Times New Roman"/>
          <w:color w:val="000000"/>
          <w:sz w:val="24"/>
          <w:szCs w:val="24"/>
        </w:rPr>
      </w:pPr>
    </w:p>
    <w:p w14:paraId="0000001A" w14:textId="77777777" w:rsidR="00F32248" w:rsidRDefault="00000000">
      <w:pPr>
        <w:rPr>
          <w:rFonts w:ascii="Times New Roman" w:eastAsia="Times New Roman" w:hAnsi="Times New Roman" w:cs="Times New Roman"/>
          <w:b/>
          <w:bCs/>
          <w:color w:val="000000"/>
        </w:rPr>
      </w:pPr>
      <w:r>
        <w:rPr>
          <w:rFonts w:ascii="Times New Roman" w:eastAsia="Times New Roman" w:hAnsi="Times New Roman" w:cs="Times New Roman"/>
          <w:b/>
          <w:bCs/>
          <w:color w:val="000000"/>
        </w:rPr>
        <w:t>Viena dažniausių klaidų – pernelyg abstrak</w:t>
      </w:r>
      <w:r>
        <w:rPr>
          <w:rFonts w:ascii="Times New Roman" w:eastAsia="Times New Roman" w:hAnsi="Times New Roman" w:cs="Times New Roman"/>
          <w:b/>
          <w:bCs/>
        </w:rPr>
        <w:t>čios užklausos</w:t>
      </w:r>
    </w:p>
    <w:p w14:paraId="0000001B" w14:textId="77777777" w:rsidR="00F32248" w:rsidRDefault="00F32248">
      <w:pPr>
        <w:pBdr>
          <w:top w:val="nil"/>
          <w:left w:val="nil"/>
          <w:bottom w:val="nil"/>
          <w:right w:val="nil"/>
          <w:between w:val="nil"/>
        </w:pBdr>
        <w:jc w:val="both"/>
        <w:rPr>
          <w:rFonts w:ascii="Times New Roman" w:eastAsia="Times New Roman" w:hAnsi="Times New Roman" w:cs="Times New Roman"/>
        </w:rPr>
      </w:pPr>
    </w:p>
    <w:p w14:paraId="0000001C" w14:textId="77777777" w:rsidR="00F32248" w:rsidRDefault="00000000">
      <w:pPr>
        <w:jc w:val="both"/>
        <w:rPr>
          <w:rFonts w:ascii="Times New Roman" w:eastAsia="Times New Roman" w:hAnsi="Times New Roman" w:cs="Times New Roman"/>
          <w:color w:val="000000"/>
        </w:rPr>
      </w:pPr>
      <w:r>
        <w:rPr>
          <w:rFonts w:ascii="Times New Roman" w:eastAsia="Times New Roman" w:hAnsi="Times New Roman" w:cs="Times New Roman"/>
          <w:color w:val="000000"/>
        </w:rPr>
        <w:t>Pasak ekspertės, žmonės dažnai pateikia pernelyg plačias ar abstrakčias užklausas, todėl DI pradeda spėlioti.</w:t>
      </w:r>
    </w:p>
    <w:p w14:paraId="0000001D" w14:textId="77777777" w:rsidR="00F32248" w:rsidRDefault="00F32248">
      <w:pPr>
        <w:jc w:val="both"/>
        <w:rPr>
          <w:rFonts w:ascii="Times New Roman" w:eastAsia="Times New Roman" w:hAnsi="Times New Roman" w:cs="Times New Roman"/>
          <w:color w:val="000000"/>
        </w:rPr>
      </w:pPr>
    </w:p>
    <w:p w14:paraId="0000001E" w14:textId="77777777" w:rsidR="00F32248" w:rsidRDefault="00000000">
      <w:pPr>
        <w:jc w:val="both"/>
        <w:rPr>
          <w:rFonts w:ascii="Times New Roman" w:eastAsia="Times New Roman" w:hAnsi="Times New Roman" w:cs="Times New Roman"/>
          <w:color w:val="000000"/>
        </w:rPr>
      </w:pPr>
      <w:r>
        <w:rPr>
          <w:rFonts w:ascii="Times New Roman" w:eastAsia="Times New Roman" w:hAnsi="Times New Roman" w:cs="Times New Roman"/>
          <w:color w:val="000000"/>
        </w:rPr>
        <w:t>„Jeigu žmogus prašo padaryti prezentaciją arba apibendrinti tam tikrą temą, dirbtiniam intelektui lieka daug vietos interpretacijai. Tokiais atvejais atsakymai gali būti pernelyg bendriniai arba neatitikti realaus poreikio“, – teigia ji.</w:t>
      </w:r>
    </w:p>
    <w:p w14:paraId="0000001F" w14:textId="77777777" w:rsidR="00F32248" w:rsidRDefault="00F32248">
      <w:pPr>
        <w:jc w:val="both"/>
        <w:rPr>
          <w:rFonts w:ascii="Times New Roman" w:eastAsia="Times New Roman" w:hAnsi="Times New Roman" w:cs="Times New Roman"/>
          <w:color w:val="000000"/>
        </w:rPr>
      </w:pPr>
    </w:p>
    <w:p w14:paraId="00000020" w14:textId="77777777" w:rsidR="00F32248"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Jos teigimu, kartais paaiškinti, ko norite, žodžiais yra sunkiau nei tiesiog parodyti. Tai ypač dažnai gali nutikti kalbant apie stilių, toną ar formatą – sąvokas, kurias žmonės dažnai jaučia intuityviai, bet sunkiai geba apibūdinti. </w:t>
      </w:r>
    </w:p>
    <w:p w14:paraId="00000021" w14:textId="77777777" w:rsidR="00F32248" w:rsidRDefault="00F32248">
      <w:pPr>
        <w:jc w:val="both"/>
        <w:rPr>
          <w:rFonts w:ascii="Times New Roman" w:eastAsia="Times New Roman" w:hAnsi="Times New Roman" w:cs="Times New Roman"/>
        </w:rPr>
      </w:pPr>
    </w:p>
    <w:p w14:paraId="00000022" w14:textId="402A93B2" w:rsidR="00F32248" w:rsidRDefault="00000000">
      <w:pPr>
        <w:jc w:val="both"/>
        <w:rPr>
          <w:rFonts w:ascii="Times New Roman" w:eastAsia="Times New Roman" w:hAnsi="Times New Roman" w:cs="Times New Roman"/>
        </w:rPr>
      </w:pPr>
      <w:r>
        <w:rPr>
          <w:rFonts w:ascii="Times New Roman" w:eastAsia="Times New Roman" w:hAnsi="Times New Roman" w:cs="Times New Roman"/>
        </w:rPr>
        <w:t>„Vietoj to, kad bandytumėte aprašyti, koks turi būti laiško tonas, pateikite vieną ar du jau parašytus pavyzdžius ir paprašykite parašyti panašų. Ši technika dažnai duoda geresnius rezultatus nei pati išsamiausia instrukcija, nes DI tiesiogiai mato, ko jūs siekiate</w:t>
      </w:r>
      <w:r w:rsidR="00A67F04">
        <w:rPr>
          <w:rFonts w:ascii="Times New Roman" w:eastAsia="Times New Roman" w:hAnsi="Times New Roman" w:cs="Times New Roman"/>
        </w:rPr>
        <w:t>“</w:t>
      </w:r>
      <w:r>
        <w:rPr>
          <w:rFonts w:ascii="Times New Roman" w:eastAsia="Times New Roman" w:hAnsi="Times New Roman" w:cs="Times New Roman"/>
        </w:rPr>
        <w:t>, – aiškina I. Rudinskaitė.</w:t>
      </w:r>
    </w:p>
    <w:p w14:paraId="00000023" w14:textId="77777777" w:rsidR="00F32248" w:rsidRDefault="00F32248">
      <w:pPr>
        <w:jc w:val="both"/>
        <w:rPr>
          <w:rFonts w:ascii="Times New Roman" w:eastAsia="Times New Roman" w:hAnsi="Times New Roman" w:cs="Times New Roman"/>
        </w:rPr>
      </w:pPr>
    </w:p>
    <w:p w14:paraId="00000024" w14:textId="77777777" w:rsidR="00F32248" w:rsidRDefault="00000000">
      <w:pPr>
        <w:jc w:val="both"/>
        <w:rPr>
          <w:rFonts w:ascii="Times New Roman" w:eastAsia="Times New Roman" w:hAnsi="Times New Roman" w:cs="Times New Roman"/>
          <w:b/>
          <w:bCs/>
        </w:rPr>
      </w:pPr>
      <w:r>
        <w:rPr>
          <w:rFonts w:ascii="Times New Roman" w:eastAsia="Times New Roman" w:hAnsi="Times New Roman" w:cs="Times New Roman"/>
          <w:b/>
          <w:bCs/>
        </w:rPr>
        <w:t>Kodėl DI neturėtų spėlioti?</w:t>
      </w:r>
    </w:p>
    <w:p w14:paraId="00000025" w14:textId="77777777" w:rsidR="00F32248" w:rsidRDefault="00F32248">
      <w:pPr>
        <w:jc w:val="both"/>
        <w:rPr>
          <w:rFonts w:ascii="Times New Roman" w:eastAsia="Times New Roman" w:hAnsi="Times New Roman" w:cs="Times New Roman"/>
          <w:b/>
          <w:bCs/>
        </w:rPr>
      </w:pPr>
    </w:p>
    <w:p w14:paraId="00000026" w14:textId="77777777" w:rsidR="00F32248" w:rsidRDefault="00000000">
      <w:pPr>
        <w:jc w:val="both"/>
        <w:rPr>
          <w:rFonts w:ascii="Times New Roman" w:eastAsia="Times New Roman" w:hAnsi="Times New Roman" w:cs="Times New Roman"/>
          <w:color w:val="222222"/>
        </w:rPr>
      </w:pPr>
      <w:r>
        <w:rPr>
          <w:rFonts w:ascii="Times New Roman" w:eastAsia="Times New Roman" w:hAnsi="Times New Roman" w:cs="Times New Roman"/>
          <w:color w:val="222222"/>
        </w:rPr>
        <w:t>Pasak I. Rudinskaitės, dirbant su DI naudinga taikyti ir vadinamąją „escape clause“ praktiką – suteikti sistemai galimybę pripažinti, kad jai trūksta informacijos, užuot bandžius spėlioti.</w:t>
      </w:r>
    </w:p>
    <w:p w14:paraId="00000027" w14:textId="77777777" w:rsidR="00F32248" w:rsidRDefault="00F32248">
      <w:pPr>
        <w:jc w:val="both"/>
        <w:rPr>
          <w:rFonts w:ascii="Times New Roman" w:eastAsia="Times New Roman" w:hAnsi="Times New Roman" w:cs="Times New Roman"/>
          <w:color w:val="222222"/>
        </w:rPr>
      </w:pPr>
    </w:p>
    <w:p w14:paraId="00000028" w14:textId="77777777" w:rsidR="00F32248" w:rsidRDefault="00000000">
      <w:pPr>
        <w:jc w:val="both"/>
        <w:rPr>
          <w:rFonts w:ascii="Times New Roman" w:eastAsia="Times New Roman" w:hAnsi="Times New Roman" w:cs="Times New Roman"/>
          <w:color w:val="222222"/>
        </w:rPr>
      </w:pPr>
      <w:r>
        <w:rPr>
          <w:rFonts w:ascii="Times New Roman" w:eastAsia="Times New Roman" w:hAnsi="Times New Roman" w:cs="Times New Roman"/>
          <w:color w:val="222222"/>
        </w:rPr>
        <w:t>„Žmonės tikisi, kad DI visada pateiks atsakymą, tačiau kartais naudingiau, kai jis pasako, jog konteksto nepakanka – tai padeda išvengti netikslių atsakymų. Užklausose galima pridėti tokias frazes kaip „jeigu trūksta informacijos – užduok papildomų klausimų“ arba „jeigu nežinai atsakymo – taip ir parašyk“, – aiškina I. Rudinskaitė.</w:t>
      </w:r>
    </w:p>
    <w:p w14:paraId="00000029" w14:textId="77777777" w:rsidR="00F32248" w:rsidRDefault="00F32248">
      <w:pPr>
        <w:jc w:val="both"/>
        <w:rPr>
          <w:rFonts w:ascii="Times New Roman" w:eastAsia="Times New Roman" w:hAnsi="Times New Roman" w:cs="Times New Roman"/>
          <w:color w:val="222222"/>
        </w:rPr>
      </w:pPr>
    </w:p>
    <w:p w14:paraId="0000002A" w14:textId="559A87B1" w:rsidR="00F32248" w:rsidRDefault="00000000">
      <w:pPr>
        <w:jc w:val="both"/>
        <w:rPr>
          <w:rFonts w:ascii="Times New Roman" w:eastAsia="Times New Roman" w:hAnsi="Times New Roman" w:cs="Times New Roman"/>
          <w:color w:val="222222"/>
        </w:rPr>
      </w:pPr>
      <w:r>
        <w:rPr>
          <w:rFonts w:ascii="Times New Roman" w:eastAsia="Times New Roman" w:hAnsi="Times New Roman" w:cs="Times New Roman"/>
          <w:color w:val="222222"/>
        </w:rPr>
        <w:t xml:space="preserve">Sudėtingesnėms užduotims – skaičiavimams, logikos uždaviniams ar sprendimų pasvėrimui – ji pataria </w:t>
      </w:r>
      <w:r w:rsidR="00A07B61">
        <w:rPr>
          <w:rFonts w:ascii="Times New Roman" w:eastAsia="Times New Roman" w:hAnsi="Times New Roman" w:cs="Times New Roman"/>
          <w:color w:val="222222"/>
        </w:rPr>
        <w:t xml:space="preserve">paprašyti </w:t>
      </w:r>
      <w:r w:rsidR="00A07B61" w:rsidRPr="00A07B61">
        <w:rPr>
          <w:rFonts w:ascii="Times New Roman" w:eastAsia="Times New Roman" w:hAnsi="Times New Roman" w:cs="Times New Roman"/>
          <w:color w:val="222222"/>
        </w:rPr>
        <w:t>DI ne tik pateikti galutinį atsakymą, bet ir paaiškinti sprendimo logiką.</w:t>
      </w:r>
    </w:p>
    <w:p w14:paraId="0000002B" w14:textId="77777777" w:rsidR="00F32248" w:rsidRDefault="00F32248">
      <w:pPr>
        <w:jc w:val="both"/>
        <w:rPr>
          <w:rFonts w:ascii="Times New Roman" w:eastAsia="Times New Roman" w:hAnsi="Times New Roman" w:cs="Times New Roman"/>
          <w:color w:val="222222"/>
        </w:rPr>
      </w:pPr>
    </w:p>
    <w:p w14:paraId="0000002C" w14:textId="319607FD" w:rsidR="00F32248" w:rsidRDefault="00000000">
      <w:pPr>
        <w:jc w:val="both"/>
        <w:rPr>
          <w:rFonts w:ascii="Times New Roman" w:eastAsia="Times New Roman" w:hAnsi="Times New Roman" w:cs="Times New Roman"/>
          <w:color w:val="222222"/>
        </w:rPr>
      </w:pPr>
      <w:r>
        <w:rPr>
          <w:rFonts w:ascii="Times New Roman" w:eastAsia="Times New Roman" w:hAnsi="Times New Roman" w:cs="Times New Roman"/>
          <w:color w:val="222222"/>
        </w:rPr>
        <w:t>„Frazės „pirmiausia paaiškink savo logiką, tada pateik atsakymą“ arba „pagalvok žingsnis po žingsnio“ leidžia DI atlikti užduotį nuosekliau. Tai sumažina klaidų skaičių ir kartu suteikia galimybę žmogui pamatyti, kuriame žingsnyje atsirado netikslumas, jeigu jis atsirado</w:t>
      </w:r>
      <w:r w:rsidR="00A67F04">
        <w:rPr>
          <w:rFonts w:ascii="Times New Roman" w:eastAsia="Times New Roman" w:hAnsi="Times New Roman" w:cs="Times New Roman"/>
          <w:color w:val="222222"/>
        </w:rPr>
        <w:t>“</w:t>
      </w:r>
      <w:r>
        <w:rPr>
          <w:rFonts w:ascii="Times New Roman" w:eastAsia="Times New Roman" w:hAnsi="Times New Roman" w:cs="Times New Roman"/>
          <w:color w:val="222222"/>
        </w:rPr>
        <w:t>, – sako I. Rudinskaitė.</w:t>
      </w:r>
    </w:p>
    <w:p w14:paraId="0000002D" w14:textId="77777777" w:rsidR="00F32248" w:rsidRDefault="00F32248">
      <w:pPr>
        <w:jc w:val="both"/>
        <w:rPr>
          <w:rFonts w:ascii="Times New Roman" w:eastAsia="Times New Roman" w:hAnsi="Times New Roman" w:cs="Times New Roman"/>
          <w:color w:val="222222"/>
        </w:rPr>
      </w:pPr>
    </w:p>
    <w:p w14:paraId="0000002F" w14:textId="64B1BEA1" w:rsidR="00F32248" w:rsidRDefault="00A07B61">
      <w:pPr>
        <w:jc w:val="both"/>
        <w:rPr>
          <w:rFonts w:ascii="Times New Roman" w:eastAsia="Times New Roman" w:hAnsi="Times New Roman" w:cs="Times New Roman"/>
          <w:color w:val="222222"/>
        </w:rPr>
      </w:pPr>
      <w:r w:rsidRPr="00A07B61">
        <w:rPr>
          <w:rFonts w:ascii="Times New Roman" w:eastAsia="Times New Roman" w:hAnsi="Times New Roman" w:cs="Times New Roman"/>
          <w:color w:val="222222"/>
        </w:rPr>
        <w:t>Pasak ekspertės, ši technika ypač naudinga tada, kai DI atsakymą reikia patikrinti arba pagrįsti. Kai matoma sprendimo logika, klaidą atpažinti tampa daug paprasčiau.</w:t>
      </w:r>
    </w:p>
    <w:p w14:paraId="5149957A" w14:textId="77777777" w:rsidR="00A07B61" w:rsidRDefault="00A07B61">
      <w:pPr>
        <w:jc w:val="both"/>
        <w:rPr>
          <w:rFonts w:ascii="Times New Roman" w:eastAsia="Times New Roman" w:hAnsi="Times New Roman" w:cs="Times New Roman"/>
          <w:color w:val="222222"/>
        </w:rPr>
      </w:pPr>
    </w:p>
    <w:p w14:paraId="00000030" w14:textId="77777777" w:rsidR="00F32248" w:rsidRDefault="00000000">
      <w:pPr>
        <w:jc w:val="both"/>
        <w:rPr>
          <w:rFonts w:ascii="Times New Roman" w:eastAsia="Times New Roman" w:hAnsi="Times New Roman" w:cs="Times New Roman"/>
          <w:b/>
          <w:bCs/>
          <w:color w:val="222222"/>
        </w:rPr>
      </w:pPr>
      <w:r>
        <w:rPr>
          <w:rFonts w:ascii="Times New Roman" w:eastAsia="Times New Roman" w:hAnsi="Times New Roman" w:cs="Times New Roman"/>
          <w:b/>
          <w:bCs/>
          <w:color w:val="222222"/>
        </w:rPr>
        <w:t>DI tampa kasdieniu darbo įrankiu</w:t>
      </w:r>
    </w:p>
    <w:p w14:paraId="00000031" w14:textId="77777777" w:rsidR="00F32248" w:rsidRDefault="00F32248">
      <w:pPr>
        <w:jc w:val="both"/>
        <w:rPr>
          <w:rFonts w:ascii="Times New Roman" w:eastAsia="Times New Roman" w:hAnsi="Times New Roman" w:cs="Times New Roman"/>
          <w:color w:val="222222"/>
        </w:rPr>
      </w:pPr>
    </w:p>
    <w:p w14:paraId="00000032" w14:textId="77777777" w:rsidR="00F32248" w:rsidRDefault="00000000">
      <w:pPr>
        <w:jc w:val="both"/>
        <w:rPr>
          <w:rFonts w:ascii="Times New Roman" w:eastAsia="Times New Roman" w:hAnsi="Times New Roman" w:cs="Times New Roman"/>
          <w:color w:val="222222"/>
        </w:rPr>
      </w:pPr>
      <w:r>
        <w:rPr>
          <w:rFonts w:ascii="Times New Roman" w:eastAsia="Times New Roman" w:hAnsi="Times New Roman" w:cs="Times New Roman"/>
          <w:color w:val="222222"/>
        </w:rPr>
        <w:t>Pasak I. Rudinskaitės, gebėjimas aiškiai komunikuoti su dirbtiniu intelektu pamažu tampa svarbiu darbo įgūdžiu daugelyje sričių.</w:t>
      </w:r>
    </w:p>
    <w:p w14:paraId="00000033" w14:textId="77777777" w:rsidR="00F32248" w:rsidRDefault="00F32248">
      <w:pPr>
        <w:jc w:val="both"/>
        <w:rPr>
          <w:rFonts w:ascii="Times New Roman" w:eastAsia="Times New Roman" w:hAnsi="Times New Roman" w:cs="Times New Roman"/>
          <w:color w:val="222222"/>
        </w:rPr>
      </w:pPr>
    </w:p>
    <w:p w14:paraId="00000034" w14:textId="77777777" w:rsidR="00F32248" w:rsidRDefault="00000000">
      <w:pPr>
        <w:jc w:val="both"/>
        <w:rPr>
          <w:rFonts w:ascii="Times New Roman" w:eastAsia="Times New Roman" w:hAnsi="Times New Roman" w:cs="Times New Roman"/>
          <w:color w:val="222222"/>
        </w:rPr>
      </w:pPr>
      <w:r>
        <w:rPr>
          <w:rFonts w:ascii="Times New Roman" w:eastAsia="Times New Roman" w:hAnsi="Times New Roman" w:cs="Times New Roman"/>
          <w:color w:val="222222"/>
        </w:rPr>
        <w:t>„Tele2“ taip pat aktyviai investuoja į darbuotojų DI kompetencijas bei vidinius sprendimus. Bendrovė darbuotojams yra sukūrusi vidinį dirbtinio intelekto asistentą „Tele2 Genie“, kuris naudojamas kasdienėms užduotims, informacijos apdorojimui ir produktyvumui didinti.</w:t>
      </w:r>
    </w:p>
    <w:p w14:paraId="00000035" w14:textId="77777777" w:rsidR="00F32248" w:rsidRDefault="00F32248">
      <w:pPr>
        <w:jc w:val="both"/>
        <w:rPr>
          <w:rFonts w:ascii="Times New Roman" w:eastAsia="Times New Roman" w:hAnsi="Times New Roman" w:cs="Times New Roman"/>
          <w:color w:val="222222"/>
        </w:rPr>
      </w:pPr>
    </w:p>
    <w:p w14:paraId="00000036" w14:textId="77777777" w:rsidR="00F32248" w:rsidRDefault="00000000">
      <w:pPr>
        <w:jc w:val="both"/>
        <w:rPr>
          <w:rFonts w:ascii="Times New Roman" w:eastAsia="Times New Roman" w:hAnsi="Times New Roman" w:cs="Times New Roman"/>
          <w:color w:val="222222"/>
        </w:rPr>
      </w:pPr>
      <w:r>
        <w:rPr>
          <w:rFonts w:ascii="Times New Roman" w:eastAsia="Times New Roman" w:hAnsi="Times New Roman" w:cs="Times New Roman"/>
          <w:color w:val="222222"/>
        </w:rPr>
        <w:t xml:space="preserve">Pasak jos, svarbiausia suprasti, kad geras rezultatas dažniausiai pasiekiamas ne pateikus pirmą užklausą, o nuolat patikslinant. </w:t>
      </w:r>
    </w:p>
    <w:p w14:paraId="00000037" w14:textId="77777777" w:rsidR="00F32248" w:rsidRDefault="00F32248">
      <w:pPr>
        <w:jc w:val="both"/>
        <w:rPr>
          <w:rFonts w:ascii="Times New Roman" w:eastAsia="Times New Roman" w:hAnsi="Times New Roman" w:cs="Times New Roman"/>
          <w:color w:val="222222"/>
        </w:rPr>
      </w:pPr>
    </w:p>
    <w:p w14:paraId="00000038" w14:textId="127AB1EA" w:rsidR="00F32248" w:rsidRDefault="00000000">
      <w:pPr>
        <w:jc w:val="both"/>
        <w:rPr>
          <w:rFonts w:ascii="Times New Roman" w:eastAsia="Times New Roman" w:hAnsi="Times New Roman" w:cs="Times New Roman"/>
          <w:color w:val="222222"/>
        </w:rPr>
      </w:pPr>
      <w:r>
        <w:rPr>
          <w:rFonts w:ascii="Times New Roman" w:eastAsia="Times New Roman" w:hAnsi="Times New Roman" w:cs="Times New Roman"/>
          <w:color w:val="222222"/>
        </w:rPr>
        <w:t>„Net profesionalai retai gauna idealų atsakymą iš pirmo karto. Darbas su DI labiau primena pokalbį, o ne vienkartinį užsakymą. Pakoreguoti, sutrumpinti, pakeisti toną, paprašyti kitokios struktūros – visa tai yra normali ir efektyvi darbo praktika</w:t>
      </w:r>
      <w:r w:rsidR="00A67F04">
        <w:rPr>
          <w:rFonts w:ascii="Times New Roman" w:eastAsia="Times New Roman" w:hAnsi="Times New Roman" w:cs="Times New Roman"/>
          <w:color w:val="222222"/>
        </w:rPr>
        <w:t>“</w:t>
      </w:r>
      <w:r>
        <w:rPr>
          <w:rFonts w:ascii="Times New Roman" w:eastAsia="Times New Roman" w:hAnsi="Times New Roman" w:cs="Times New Roman"/>
          <w:color w:val="222222"/>
        </w:rPr>
        <w:t>, – sako I. Rudinskaitė.</w:t>
      </w:r>
    </w:p>
    <w:p w14:paraId="00000039" w14:textId="77777777" w:rsidR="00F32248" w:rsidRDefault="00F32248">
      <w:pPr>
        <w:jc w:val="both"/>
        <w:rPr>
          <w:rFonts w:ascii="Times New Roman" w:eastAsia="Times New Roman" w:hAnsi="Times New Roman" w:cs="Times New Roman"/>
          <w:color w:val="222222"/>
        </w:rPr>
      </w:pPr>
    </w:p>
    <w:p w14:paraId="0000003A" w14:textId="77777777" w:rsidR="00F32248" w:rsidRDefault="00000000">
      <w:pPr>
        <w:jc w:val="both"/>
        <w:rPr>
          <w:rFonts w:ascii="Times New Roman" w:eastAsia="Times New Roman" w:hAnsi="Times New Roman" w:cs="Times New Roman"/>
          <w:color w:val="222222"/>
        </w:rPr>
      </w:pPr>
      <w:r>
        <w:rPr>
          <w:rFonts w:ascii="Times New Roman" w:eastAsia="Times New Roman" w:hAnsi="Times New Roman" w:cs="Times New Roman"/>
          <w:color w:val="222222"/>
        </w:rPr>
        <w:t>Pasak ekspertės, žmonės, kurie įpratę dirbti su DI interaktyviai, paprastai pasiekia daug geresnių rezultatų nei tie, kurie tikisi tobulo atsakymo iš pirmos užklausos ir nusivylę pereina prie kito įrankio.</w:t>
      </w:r>
    </w:p>
    <w:p w14:paraId="0000003B" w14:textId="77777777" w:rsidR="00F32248" w:rsidRDefault="00F32248">
      <w:pPr>
        <w:jc w:val="both"/>
        <w:rPr>
          <w:rFonts w:ascii="Times New Roman" w:eastAsia="Times New Roman" w:hAnsi="Times New Roman" w:cs="Times New Roman"/>
          <w:color w:val="222222"/>
        </w:rPr>
      </w:pPr>
    </w:p>
    <w:p w14:paraId="0000003C" w14:textId="77777777" w:rsidR="00F32248" w:rsidRDefault="00000000">
      <w:pPr>
        <w:jc w:val="both"/>
        <w:rPr>
          <w:rFonts w:ascii="Times New Roman" w:eastAsia="Times New Roman" w:hAnsi="Times New Roman" w:cs="Times New Roman"/>
          <w:b/>
          <w:bCs/>
        </w:rPr>
      </w:pPr>
      <w:r>
        <w:rPr>
          <w:rFonts w:ascii="Times New Roman" w:eastAsia="Times New Roman" w:hAnsi="Times New Roman" w:cs="Times New Roman"/>
          <w:b/>
          <w:bCs/>
        </w:rPr>
        <w:t>Daugiau informacijos:</w:t>
      </w:r>
    </w:p>
    <w:p w14:paraId="0000003D" w14:textId="77777777" w:rsidR="00F32248" w:rsidRDefault="00000000">
      <w:pPr>
        <w:jc w:val="both"/>
        <w:rPr>
          <w:rFonts w:ascii="Times New Roman" w:eastAsia="Times New Roman" w:hAnsi="Times New Roman" w:cs="Times New Roman"/>
        </w:rPr>
      </w:pPr>
      <w:r>
        <w:rPr>
          <w:rFonts w:ascii="Times New Roman" w:eastAsia="Times New Roman" w:hAnsi="Times New Roman" w:cs="Times New Roman"/>
        </w:rPr>
        <w:t>Asta Buitkutė</w:t>
      </w:r>
    </w:p>
    <w:p w14:paraId="0000003E" w14:textId="77777777" w:rsidR="00F32248" w:rsidRDefault="00000000">
      <w:pPr>
        <w:jc w:val="both"/>
        <w:rPr>
          <w:rFonts w:ascii="Times New Roman" w:eastAsia="Times New Roman" w:hAnsi="Times New Roman" w:cs="Times New Roman"/>
        </w:rPr>
      </w:pPr>
      <w:r>
        <w:rPr>
          <w:rFonts w:ascii="Times New Roman" w:eastAsia="Times New Roman" w:hAnsi="Times New Roman" w:cs="Times New Roman"/>
        </w:rPr>
        <w:t>„Tele2“ atstovė ryšiams su visuomene</w:t>
      </w:r>
    </w:p>
    <w:p w14:paraId="0000003F" w14:textId="77777777" w:rsidR="00F32248" w:rsidRDefault="00000000">
      <w:pPr>
        <w:jc w:val="both"/>
        <w:rPr>
          <w:rFonts w:ascii="Times New Roman" w:eastAsia="Times New Roman" w:hAnsi="Times New Roman" w:cs="Times New Roman"/>
        </w:rPr>
      </w:pPr>
      <w:r>
        <w:rPr>
          <w:rFonts w:ascii="Times New Roman" w:eastAsia="Times New Roman" w:hAnsi="Times New Roman" w:cs="Times New Roman"/>
        </w:rPr>
        <w:t>M +370 668 00467</w:t>
      </w:r>
    </w:p>
    <w:p w14:paraId="00000040" w14:textId="77777777" w:rsidR="00F32248" w:rsidRDefault="00000000">
      <w:pPr>
        <w:jc w:val="both"/>
        <w:rPr>
          <w:rFonts w:ascii="Times New Roman" w:eastAsia="Times New Roman" w:hAnsi="Times New Roman" w:cs="Times New Roman"/>
          <w:color w:val="222222"/>
        </w:rPr>
      </w:pPr>
      <w:r>
        <w:rPr>
          <w:rFonts w:ascii="Times New Roman" w:eastAsia="Times New Roman" w:hAnsi="Times New Roman" w:cs="Times New Roman"/>
        </w:rPr>
        <w:t>@ asta.buitkute@tele2.com</w:t>
      </w:r>
    </w:p>
    <w:sectPr w:rsidR="00F32248">
      <w:headerReference w:type="default" r:id="rId7"/>
      <w:footerReference w:type="default" r:id="rId8"/>
      <w:pgSz w:w="11900" w:h="16840"/>
      <w:pgMar w:top="1440" w:right="1440" w:bottom="1440" w:left="1440" w:header="709" w:footer="709" w:gutter="0"/>
      <w:pgNumType w:start="1"/>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5B7C41" w14:textId="77777777" w:rsidR="003D186C" w:rsidRDefault="003D186C">
      <w:r>
        <w:separator/>
      </w:r>
    </w:p>
  </w:endnote>
  <w:endnote w:type="continuationSeparator" w:id="0">
    <w:p w14:paraId="3AEF9864" w14:textId="77777777" w:rsidR="003D186C" w:rsidRDefault="003D18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BA"/>
    <w:family w:val="swiss"/>
    <w:pitch w:val="variable"/>
    <w:sig w:usb0="E4002EFF" w:usb1="C200247B" w:usb2="00000009" w:usb3="00000000" w:csb0="000001FF" w:csb1="00000000"/>
    <w:embedRegular r:id="rId1" w:fontKey="{0AF92BAE-8ACB-4367-A791-33B892C50F3C}"/>
    <w:embedBold r:id="rId2" w:fontKey="{75B17A1D-93E8-4119-A377-761C218063AC}"/>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BA"/>
    <w:family w:val="roman"/>
    <w:pitch w:val="variable"/>
    <w:sig w:usb0="00000287" w:usb1="00000000" w:usb2="00000000" w:usb3="00000000" w:csb0="0000009F" w:csb1="00000000"/>
    <w:embedItalic r:id="rId3" w:fontKey="{B68F9A8D-AB81-4B6B-BDFA-FAB7764B7217}"/>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4" w:fontKey="{6D064429-6E10-4C81-9900-C289416DAD6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42" w14:textId="77777777" w:rsidR="00F32248" w:rsidRDefault="00000000">
    <w:pPr>
      <w:rPr>
        <w:rFonts w:ascii="Arial" w:eastAsia="Arial" w:hAnsi="Arial" w:cs="Arial"/>
        <w:b/>
        <w:bCs/>
        <w:sz w:val="16"/>
        <w:szCs w:val="16"/>
      </w:rPr>
    </w:pPr>
    <w:r>
      <w:rPr>
        <w:rFonts w:ascii="Arial" w:eastAsia="Arial" w:hAnsi="Arial" w:cs="Arial"/>
        <w:b/>
        <w:bCs/>
        <w:sz w:val="16"/>
        <w:szCs w:val="16"/>
      </w:rPr>
      <w:t>Apie „Tele2“</w:t>
    </w:r>
    <w:r>
      <w:rPr>
        <w:noProof/>
      </w:rPr>
      <mc:AlternateContent>
        <mc:Choice Requires="wpg">
          <w:drawing>
            <wp:anchor distT="0" distB="0" distL="114300" distR="114300" simplePos="0" relativeHeight="251659264" behindDoc="0" locked="0" layoutInCell="1" hidden="0" allowOverlap="1">
              <wp:simplePos x="0" y="0"/>
              <wp:positionH relativeFrom="column">
                <wp:posOffset>-923921</wp:posOffset>
              </wp:positionH>
              <wp:positionV relativeFrom="paragraph">
                <wp:posOffset>10219691</wp:posOffset>
              </wp:positionV>
              <wp:extent cx="7575550" cy="292100"/>
              <wp:effectExtent l="0" t="0" r="0" b="0"/>
              <wp:wrapNone/>
              <wp:docPr id="1" name="Rectangle 1" descr="{&quot;HashCode&quot;:-639942987,&quot;Height&quot;:842.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wps:spPr>
                      <a:xfrm>
                        <a:off x="1567750" y="3643475"/>
                        <a:ext cx="7556500" cy="273050"/>
                      </a:xfrm>
                      <a:prstGeom prst="rect">
                        <a:avLst/>
                      </a:prstGeom>
                      <a:noFill/>
                      <a:ln>
                        <a:noFill/>
                      </a:ln>
                    </wps:spPr>
                    <wps:txbx>
                      <w:txbxContent>
                        <w:p w14:paraId="36BAF3A3" w14:textId="77777777" w:rsidR="00F32248" w:rsidRDefault="00F32248">
                          <w:pPr>
                            <w:textDirection w:val="btLr"/>
                          </w:pPr>
                        </w:p>
                      </w:txbxContent>
                    </wps:txbx>
                    <wps:bodyPr spcFirstLastPara="1" wrap="square" lIns="254000" tIns="0" rIns="91425" bIns="0" anchor="b"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-923921</wp:posOffset>
              </wp:positionH>
              <wp:positionV relativeFrom="paragraph">
                <wp:posOffset>10219691</wp:posOffset>
              </wp:positionV>
              <wp:extent cx="7575550" cy="292100"/>
              <wp:effectExtent b="0" l="0" r="0" t="0"/>
              <wp:wrapNone/>
              <wp:docPr descr="{&quot;HashCode&quot;:-639942987,&quot;Height&quot;:842.0,&quot;Width&quot;:595.0,&quot;Placement&quot;:&quot;Footer&quot;,&quot;Index&quot;:&quot;Primary&quot;,&quot;Section&quot;:1,&quot;Top&quot;:0.0,&quot;Left&quot;:0.0}" id="1" name="image2.png"/>
              <a:graphic>
                <a:graphicData uri="http://schemas.openxmlformats.org/drawingml/2006/picture">
                  <pic:pic>
                    <pic:nvPicPr>
                      <pic:cNvPr descr="{&quot;HashCode&quot;:-639942987,&quot;Height&quot;:842.0,&quot;Width&quot;:595.0,&quot;Placement&quot;:&quot;Footer&quot;,&quot;Index&quot;:&quot;Primary&quot;,&quot;Section&quot;:1,&quot;Top&quot;:0.0,&quot;Left&quot;:0.0}" id="0" name="image2.png"/>
                      <pic:cNvPicPr preferRelativeResize="0"/>
                    </pic:nvPicPr>
                    <pic:blipFill>
                      <a:blip r:embed="rId1"/>
                      <a:srcRect/>
                      <a:stretch>
                        <a:fillRect/>
                      </a:stretch>
                    </pic:blipFill>
                    <pic:spPr>
                      <a:xfrm>
                        <a:off x="0" y="0"/>
                        <a:ext cx="7575550" cy="292100"/>
                      </a:xfrm>
                      <a:prstGeom prst="rect"/>
                      <a:ln/>
                    </pic:spPr>
                  </pic:pic>
                </a:graphicData>
              </a:graphic>
            </wp:anchor>
          </w:drawing>
        </mc:Fallback>
      </mc:AlternateContent>
    </w:r>
  </w:p>
  <w:p w14:paraId="00000043" w14:textId="77777777" w:rsidR="00F32248" w:rsidRDefault="00000000">
    <w:pPr>
      <w:jc w:val="both"/>
      <w:rPr>
        <w:rFonts w:ascii="Arial" w:eastAsia="Arial" w:hAnsi="Arial" w:cs="Arial"/>
        <w:color w:val="0000FF"/>
        <w:sz w:val="18"/>
        <w:szCs w:val="18"/>
        <w:u w:val="single"/>
      </w:rPr>
    </w:pPr>
    <w:r>
      <w:rPr>
        <w:rFonts w:ascii="Arial" w:eastAsia="Arial" w:hAnsi="Arial" w:cs="Arial"/>
        <w:sz w:val="18"/>
        <w:szCs w:val="18"/>
      </w:rPr>
      <w:t xml:space="preserve">„Tele2“ nuolatos siekia teikti geriausius pasiūlymus ir siūlyti mažiausias kainas rinkoje. Bendrovė teikia mobiliojo ir fiksuoto ryšio, duomenų perdavimo, kabelinės televizijos, turinio ir daiktų interneto sprendimų paslaugas milijonams klientų. Nuo 1993 m., kai Jan Stenbeck įkūrė bendrovę, ji tapo rimtu konkurentu buvusioms valstybinėms monopolijoms ir kitiems ryšio tiekėjams. Nuo 1996 m. „Tele2“ įtraukta į NASDAQ OMX Stokholmo vertybinių popierių biržos sąrašus. Lietuvoje „Tele2“ pradėjo veiklą 2000 metais. Aplankykite mus </w:t>
    </w:r>
    <w:hyperlink r:id="rId2">
      <w:r>
        <w:rPr>
          <w:rFonts w:ascii="Arial" w:eastAsia="Arial" w:hAnsi="Arial" w:cs="Arial"/>
          <w:color w:val="0000FF"/>
          <w:sz w:val="18"/>
          <w:szCs w:val="18"/>
          <w:u w:val="single"/>
        </w:rPr>
        <w:t>www.tele2.lt</w:t>
      </w:r>
    </w:hyperlink>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9C2ADE" w14:textId="77777777" w:rsidR="003D186C" w:rsidRDefault="003D186C">
      <w:r>
        <w:separator/>
      </w:r>
    </w:p>
  </w:footnote>
  <w:footnote w:type="continuationSeparator" w:id="0">
    <w:p w14:paraId="41C031F1" w14:textId="77777777" w:rsidR="003D186C" w:rsidRDefault="003D18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41" w14:textId="77777777" w:rsidR="00F32248" w:rsidRDefault="00000000">
    <w:pPr>
      <w:pBdr>
        <w:top w:val="nil"/>
        <w:left w:val="nil"/>
        <w:bottom w:val="nil"/>
        <w:right w:val="nil"/>
        <w:between w:val="nil"/>
      </w:pBdr>
      <w:tabs>
        <w:tab w:val="center" w:pos="4513"/>
        <w:tab w:val="right" w:pos="9026"/>
      </w:tabs>
      <w:rPr>
        <w:color w:val="000000"/>
      </w:rPr>
    </w:pPr>
    <w:r>
      <w:rPr>
        <w:noProof/>
      </w:rPr>
      <w:drawing>
        <wp:anchor distT="0" distB="0" distL="114300" distR="114300" simplePos="0" relativeHeight="251658240" behindDoc="0" locked="0" layoutInCell="1" hidden="0" allowOverlap="1">
          <wp:simplePos x="0" y="0"/>
          <wp:positionH relativeFrom="column">
            <wp:posOffset>4753610</wp:posOffset>
          </wp:positionH>
          <wp:positionV relativeFrom="paragraph">
            <wp:posOffset>-266063</wp:posOffset>
          </wp:positionV>
          <wp:extent cx="1046191" cy="557969"/>
          <wp:effectExtent l="0" t="0" r="0" b="0"/>
          <wp:wrapNone/>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046191" cy="557969"/>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2248"/>
    <w:rsid w:val="00196C94"/>
    <w:rsid w:val="00213548"/>
    <w:rsid w:val="003D186C"/>
    <w:rsid w:val="006348B8"/>
    <w:rsid w:val="00A07B61"/>
    <w:rsid w:val="00A67F04"/>
    <w:rsid w:val="00F32248"/>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BCEDC6"/>
  <w15:docId w15:val="{5C5398EA-D241-4A5B-9992-D1E7B6B7C8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outlineLvl w:val="0"/>
    </w:pPr>
    <w:rPr>
      <w:color w:val="2F5496"/>
      <w:sz w:val="32"/>
      <w:szCs w:val="32"/>
    </w:rPr>
  </w:style>
  <w:style w:type="paragraph" w:styleId="Heading2">
    <w:name w:val="heading 2"/>
    <w:basedOn w:val="Normal"/>
    <w:next w:val="Normal"/>
    <w:uiPriority w:val="9"/>
    <w:unhideWhenUsed/>
    <w:qFormat/>
    <w:pPr>
      <w:keepNext/>
      <w:keepLines/>
      <w:spacing w:before="40"/>
      <w:outlineLvl w:val="1"/>
    </w:pPr>
    <w:rPr>
      <w:color w:val="2F5496"/>
      <w:sz w:val="26"/>
      <w:szCs w:val="26"/>
    </w:rPr>
  </w:style>
  <w:style w:type="paragraph" w:styleId="Heading3">
    <w:name w:val="heading 3"/>
    <w:basedOn w:val="Normal"/>
    <w:next w:val="Normal"/>
    <w:uiPriority w:val="9"/>
    <w:semiHidden/>
    <w:unhideWhenUsed/>
    <w:qFormat/>
    <w:pPr>
      <w:outlineLvl w:val="2"/>
    </w:pPr>
    <w:rPr>
      <w:rFonts w:ascii="Times New Roman" w:eastAsia="Times New Roman" w:hAnsi="Times New Roman" w:cs="Times New Roman"/>
      <w:b/>
      <w:bCs/>
      <w:sz w:val="27"/>
      <w:szCs w:val="27"/>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www.tele2.lt" TargetMode="External"/><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ihw3GbVQ6+OKqgGKswyWMVKv/kw==">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2</Pages>
  <Words>3050</Words>
  <Characters>1740</Characters>
  <Application>Microsoft Office Word</Application>
  <DocSecurity>0</DocSecurity>
  <Lines>14</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Meda</cp:lastModifiedBy>
  <cp:revision>4</cp:revision>
  <dcterms:created xsi:type="dcterms:W3CDTF">2026-06-02T05:14:00Z</dcterms:created>
  <dcterms:modified xsi:type="dcterms:W3CDTF">2026-06-02T05:29:00Z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cca9737-3fb7-4a23-a452-5fd2dddae788_Enabled">
    <vt:lpwstr>true</vt:lpwstr>
  </property>
  <property fmtid="{D5CDD505-2E9C-101B-9397-08002B2CF9AE}" pid="3" name="MSIP_Label_ecca9737-3fb7-4a23-a452-5fd2dddae788_SetDate">
    <vt:lpwstr>2021-07-05T05:13:11Z</vt:lpwstr>
  </property>
  <property fmtid="{D5CDD505-2E9C-101B-9397-08002B2CF9AE}" pid="4" name="MSIP_Label_ecca9737-3fb7-4a23-a452-5fd2dddae788_Method">
    <vt:lpwstr>Standard</vt:lpwstr>
  </property>
  <property fmtid="{D5CDD505-2E9C-101B-9397-08002B2CF9AE}" pid="5" name="MSIP_Label_ecca9737-3fb7-4a23-a452-5fd2dddae788_Name">
    <vt:lpwstr>Internal</vt:lpwstr>
  </property>
  <property fmtid="{D5CDD505-2E9C-101B-9397-08002B2CF9AE}" pid="6" name="MSIP_Label_ecca9737-3fb7-4a23-a452-5fd2dddae788_SiteId">
    <vt:lpwstr>76431109-ff89-42c2-8781-a07ca07a2d57</vt:lpwstr>
  </property>
  <property fmtid="{D5CDD505-2E9C-101B-9397-08002B2CF9AE}" pid="7" name="MSIP_Label_ecca9737-3fb7-4a23-a452-5fd2dddae788_ActionId">
    <vt:lpwstr>55c7c224-13ca-42fc-9f2a-8bfe461c24fc</vt:lpwstr>
  </property>
  <property fmtid="{D5CDD505-2E9C-101B-9397-08002B2CF9AE}" pid="8" name="MSIP_Label_ecca9737-3fb7-4a23-a452-5fd2dddae788_ContentBits">
    <vt:lpwstr>2</vt:lpwstr>
  </property>
  <property fmtid="{D5CDD505-2E9C-101B-9397-08002B2CF9AE}" pid="9" name="GrammarlyDocumentId">
    <vt:lpwstr>a7bab780030ea9a742b2af2ed669654013791b30c7984ad079e31a1d543ee316</vt:lpwstr>
  </property>
</Properties>
</file>