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24044" w14:textId="208F486A" w:rsidR="001F1275" w:rsidRPr="00DB1932" w:rsidRDefault="00FD30FC" w:rsidP="001F1275">
      <w:pPr>
        <w:ind w:left="2" w:hangingChars="1" w:hanging="2"/>
        <w:jc w:val="both"/>
        <w:rPr>
          <w:rFonts w:ascii="Verdana" w:eastAsia="Arial Unicode MS" w:hAnsi="Verdana" w:cs="Open Sans"/>
          <w:b/>
          <w:bCs/>
          <w:color w:val="0068A5"/>
          <w:lang w:eastAsia="en-US"/>
        </w:rPr>
      </w:pPr>
      <w:bookmarkStart w:id="0" w:name="OLE_LINK1"/>
      <w:r w:rsidRPr="00FD30FC">
        <w:rPr>
          <w:rFonts w:ascii="Verdana" w:eastAsia="Arial Unicode MS" w:hAnsi="Verdana" w:cs="Open Sans"/>
          <w:b/>
          <w:bCs/>
          <w:color w:val="0068A5"/>
          <w:lang w:eastAsia="en-US"/>
        </w:rPr>
        <w:t>„Civinity“ pradeda automobilių autoparko elektrifikaciją: konkursą laimėjo „Toyota“ atstovai Lietuvoje ir Latvijoje, pirmieji 150 automobilių, kurių vertė sieks iki 2,7 mln. Eur – dar šiemet</w:t>
      </w:r>
    </w:p>
    <w:bookmarkEnd w:id="0"/>
    <w:p w14:paraId="4E41DB24" w14:textId="0DF0CBE7" w:rsidR="00F9294D" w:rsidRDefault="0023061F" w:rsidP="003D046C">
      <w:pPr>
        <w:spacing w:after="120"/>
        <w:jc w:val="both"/>
        <w:rPr>
          <w:rFonts w:ascii="Verdana" w:eastAsia="Open Sans" w:hAnsi="Verdana" w:cs="Open Sans"/>
          <w:i/>
          <w:iCs/>
          <w:color w:val="000000" w:themeColor="text1"/>
          <w:sz w:val="16"/>
          <w:szCs w:val="16"/>
        </w:rPr>
      </w:pPr>
      <w:r>
        <w:rPr>
          <w:rFonts w:ascii="Verdana" w:eastAsia="Open Sans" w:hAnsi="Verdana" w:cs="Open Sans"/>
          <w:i/>
          <w:iCs/>
          <w:color w:val="000000" w:themeColor="text1"/>
          <w:sz w:val="16"/>
          <w:szCs w:val="16"/>
        </w:rPr>
        <w:t xml:space="preserve">2026 m. </w:t>
      </w:r>
      <w:r w:rsidR="009F704C">
        <w:rPr>
          <w:rFonts w:ascii="Verdana" w:eastAsia="Open Sans" w:hAnsi="Verdana" w:cs="Open Sans"/>
          <w:i/>
          <w:iCs/>
          <w:color w:val="000000" w:themeColor="text1"/>
          <w:sz w:val="16"/>
          <w:szCs w:val="16"/>
        </w:rPr>
        <w:t>birželio</w:t>
      </w:r>
      <w:r w:rsidR="0011607C">
        <w:rPr>
          <w:rFonts w:ascii="Verdana" w:eastAsia="Open Sans" w:hAnsi="Verdana" w:cs="Open Sans"/>
          <w:i/>
          <w:iCs/>
          <w:color w:val="000000" w:themeColor="text1"/>
          <w:sz w:val="16"/>
          <w:szCs w:val="16"/>
        </w:rPr>
        <w:t xml:space="preserve"> </w:t>
      </w:r>
      <w:r w:rsidR="000E153A">
        <w:rPr>
          <w:rFonts w:ascii="Verdana" w:eastAsia="Open Sans" w:hAnsi="Verdana" w:cs="Open Sans"/>
          <w:i/>
          <w:iCs/>
          <w:color w:val="000000" w:themeColor="text1"/>
          <w:sz w:val="16"/>
          <w:szCs w:val="16"/>
        </w:rPr>
        <w:t>2</w:t>
      </w:r>
      <w:r w:rsidR="009F704C">
        <w:rPr>
          <w:rFonts w:ascii="Verdana" w:eastAsia="Open Sans" w:hAnsi="Verdana" w:cs="Open Sans"/>
          <w:i/>
          <w:iCs/>
          <w:color w:val="000000" w:themeColor="text1"/>
          <w:sz w:val="16"/>
          <w:szCs w:val="16"/>
        </w:rPr>
        <w:t>2</w:t>
      </w:r>
      <w:r>
        <w:rPr>
          <w:rFonts w:ascii="Verdana" w:eastAsia="Open Sans" w:hAnsi="Verdana" w:cs="Open Sans"/>
          <w:i/>
          <w:iCs/>
          <w:color w:val="000000" w:themeColor="text1"/>
          <w:sz w:val="16"/>
          <w:szCs w:val="16"/>
        </w:rPr>
        <w:t xml:space="preserve"> d.</w:t>
      </w:r>
    </w:p>
    <w:p w14:paraId="7A169E64" w14:textId="6F796AFA" w:rsidR="003D046C" w:rsidRPr="001B0832" w:rsidRDefault="003D046C" w:rsidP="003D046C">
      <w:pPr>
        <w:spacing w:after="120"/>
        <w:jc w:val="both"/>
        <w:rPr>
          <w:rFonts w:ascii="Verdana" w:eastAsia="Open Sans" w:hAnsi="Verdana" w:cs="Open Sans"/>
          <w:sz w:val="20"/>
          <w:szCs w:val="20"/>
        </w:rPr>
      </w:pPr>
    </w:p>
    <w:p w14:paraId="3EF6A4CB" w14:textId="77777777" w:rsidR="009F704C" w:rsidRPr="009F704C" w:rsidRDefault="009F704C" w:rsidP="009F704C">
      <w:pPr>
        <w:spacing w:after="120"/>
        <w:jc w:val="both"/>
        <w:rPr>
          <w:rFonts w:ascii="Verdana" w:eastAsia="Open Sans" w:hAnsi="Verdana" w:cs="Open Sans"/>
          <w:b/>
          <w:bCs/>
          <w:sz w:val="18"/>
          <w:szCs w:val="18"/>
        </w:rPr>
      </w:pPr>
      <w:r w:rsidRPr="009F704C">
        <w:rPr>
          <w:rFonts w:ascii="Verdana" w:eastAsia="Open Sans" w:hAnsi="Verdana" w:cs="Open Sans"/>
          <w:b/>
          <w:bCs/>
          <w:sz w:val="18"/>
          <w:szCs w:val="18"/>
        </w:rPr>
        <w:t xml:space="preserve">Pastatų priežiūros, administravimo ir inžinerinių sprendimų grupė „Civinity“ baigė pirmojo autoparko atnaujinimo konkurso etapą ir pradeda vieną didžiausių tokio tipo projektų paslaugų sektoriuje. Pirmuoju etapu grupė įsigis naujų skirtingos modifikacijos ir galimybių „Toyota </w:t>
      </w:r>
      <w:proofErr w:type="spellStart"/>
      <w:r w:rsidRPr="009F704C">
        <w:rPr>
          <w:rFonts w:ascii="Verdana" w:eastAsia="Open Sans" w:hAnsi="Verdana" w:cs="Open Sans"/>
          <w:b/>
          <w:bCs/>
          <w:sz w:val="18"/>
          <w:szCs w:val="18"/>
        </w:rPr>
        <w:t>Proace</w:t>
      </w:r>
      <w:proofErr w:type="spellEnd"/>
      <w:r w:rsidRPr="009F704C">
        <w:rPr>
          <w:rFonts w:ascii="Verdana" w:eastAsia="Open Sans" w:hAnsi="Verdana" w:cs="Open Sans"/>
          <w:b/>
          <w:bCs/>
          <w:sz w:val="18"/>
          <w:szCs w:val="18"/>
        </w:rPr>
        <w:t>“ šeimos komercinių automobilių Lietuvoje ir Latvijoje – viso 150 vnt.</w:t>
      </w:r>
    </w:p>
    <w:p w14:paraId="171CE02E"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Pirmieji automobiliai komandas turėtų pasiekti rugsėjo–spalio mėn. Pirmojo etapo vertė sieks iki 2,7 mln. Eur. Bendras planuojamų įsigyti automobilių skaičius siekia 350 vnt., o juos į tvaresnę ir gerokai mažiau taršią grupės flotilę priimti planuojama per trejus metus.</w:t>
      </w:r>
    </w:p>
    <w:p w14:paraId="49D115C8"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Konkursą Lietuvoje laimėjo „</w:t>
      </w:r>
      <w:proofErr w:type="spellStart"/>
      <w:r w:rsidRPr="009F704C">
        <w:rPr>
          <w:rFonts w:ascii="Verdana" w:eastAsia="Open Sans" w:hAnsi="Verdana" w:cs="Open Sans"/>
          <w:sz w:val="18"/>
          <w:szCs w:val="18"/>
        </w:rPr>
        <w:t>Autotoja</w:t>
      </w:r>
      <w:proofErr w:type="spellEnd"/>
      <w:r w:rsidRPr="009F704C">
        <w:rPr>
          <w:rFonts w:ascii="Verdana" w:eastAsia="Open Sans" w:hAnsi="Verdana" w:cs="Open Sans"/>
          <w:sz w:val="18"/>
          <w:szCs w:val="18"/>
        </w:rPr>
        <w:t xml:space="preserve">“, Latvijoje – „WESS </w:t>
      </w:r>
      <w:proofErr w:type="spellStart"/>
      <w:r w:rsidRPr="009F704C">
        <w:rPr>
          <w:rFonts w:ascii="Verdana" w:eastAsia="Open Sans" w:hAnsi="Verdana" w:cs="Open Sans"/>
          <w:sz w:val="18"/>
          <w:szCs w:val="18"/>
        </w:rPr>
        <w:t>Motors</w:t>
      </w:r>
      <w:proofErr w:type="spellEnd"/>
      <w:r w:rsidRPr="009F704C">
        <w:rPr>
          <w:rFonts w:ascii="Verdana" w:eastAsia="Open Sans" w:hAnsi="Verdana" w:cs="Open Sans"/>
          <w:sz w:val="18"/>
          <w:szCs w:val="18"/>
        </w:rPr>
        <w:t xml:space="preserve"> Toyota“. Iš viso pasiūlymus pateikė penkios automobilių atstovybės. Pirmojo etapo užsakymas bus lizingo būdu finansuojamas pasitelkiant išorinį finansavimo partnerį. Vėlesni etapai bus organizuojami su tuo pačiu pagrindiniu automobilių tiekėju, pagal „Civinity“ grupės numatytą grafiką.</w:t>
      </w:r>
    </w:p>
    <w:p w14:paraId="753D8806"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Konkursui pasiūlymus pateikė penkios automobilių atstovybės. Vertinant pasiūlymus buvo atsižvelgta į konkurso sąlygų atitiktį, automobilių kokybės ir patikimumo standartus, garantijos laikotarpį bei aptarnavimo tinklo aprėptį Lietuvos ir Latvijos miestuose.</w:t>
      </w:r>
    </w:p>
    <w:p w14:paraId="54983D5F"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Platus autorizuotų atstovybių ir servisų tinklas buvo vienas svarbiausių praktinių kriterijų, nes „Civinity“ techninės komandos dirba šešiuose miestuose, o automobilio prastova tiesiogiai veikia paslaugų teikimą klientams.</w:t>
      </w:r>
    </w:p>
    <w:p w14:paraId="6F7754A1"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„Džiaugiamės, kad mūsų paskalbtas konkursas sulaukė nemažai dėmesio iš stipriausių komercinio segmento automobilių gamintojų atstovų. Mūsų versle autoparkas nėra pagalbinė priemonė. Tai dalis paslaugos, nuo kurios priklauso komandų mobilumas, reagavimo greitis ir kasdienis efektyvumas, o „Civinity“ atveju – dar ir žingsnis link „</w:t>
      </w:r>
      <w:proofErr w:type="spellStart"/>
      <w:r w:rsidRPr="009F704C">
        <w:rPr>
          <w:rFonts w:ascii="Verdana" w:eastAsia="Open Sans" w:hAnsi="Verdana" w:cs="Open Sans"/>
          <w:sz w:val="18"/>
          <w:szCs w:val="18"/>
        </w:rPr>
        <w:t>Smart</w:t>
      </w:r>
      <w:proofErr w:type="spellEnd"/>
      <w:r w:rsidRPr="009F704C">
        <w:rPr>
          <w:rFonts w:ascii="Verdana" w:eastAsia="Open Sans" w:hAnsi="Verdana" w:cs="Open Sans"/>
          <w:sz w:val="18"/>
          <w:szCs w:val="18"/>
        </w:rPr>
        <w:t xml:space="preserve"> </w:t>
      </w:r>
      <w:proofErr w:type="spellStart"/>
      <w:r w:rsidRPr="009F704C">
        <w:rPr>
          <w:rFonts w:ascii="Verdana" w:eastAsia="Open Sans" w:hAnsi="Verdana" w:cs="Open Sans"/>
          <w:sz w:val="18"/>
          <w:szCs w:val="18"/>
        </w:rPr>
        <w:t>Green</w:t>
      </w:r>
      <w:proofErr w:type="spellEnd"/>
      <w:r w:rsidRPr="009F704C">
        <w:rPr>
          <w:rFonts w:ascii="Verdana" w:eastAsia="Open Sans" w:hAnsi="Verdana" w:cs="Open Sans"/>
          <w:sz w:val="18"/>
          <w:szCs w:val="18"/>
        </w:rPr>
        <w:t xml:space="preserve"> </w:t>
      </w:r>
      <w:proofErr w:type="spellStart"/>
      <w:r w:rsidRPr="009F704C">
        <w:rPr>
          <w:rFonts w:ascii="Verdana" w:eastAsia="Open Sans" w:hAnsi="Verdana" w:cs="Open Sans"/>
          <w:sz w:val="18"/>
          <w:szCs w:val="18"/>
        </w:rPr>
        <w:t>City</w:t>
      </w:r>
      <w:proofErr w:type="spellEnd"/>
      <w:r w:rsidRPr="009F704C">
        <w:rPr>
          <w:rFonts w:ascii="Verdana" w:eastAsia="Open Sans" w:hAnsi="Verdana" w:cs="Open Sans"/>
          <w:sz w:val="18"/>
          <w:szCs w:val="18"/>
        </w:rPr>
        <w:t>“ vizijos įgyvendinimo“, – sako „Civinity“ valdybos pirmininkas Deividas Jacka.</w:t>
      </w:r>
    </w:p>
    <w:p w14:paraId="4FF68CA3"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Šis projektas vyksta tuo metu, kai įmonių transporto parkai tampa vienu pagrindinių elektromobilių rinkos augimo variklių. Lietuvoje įmonės jau nuperka didžiąją dalį naujų elektromobilių, o juridinių asmenų lizingo sutarčių dėl elektromobilių skaičius pastaraisiais metais sparčiai augo. Tai rodo, kad verslo autoparkų atnaujinimas vis dažniau yra ne įvaizdžio, o bendros nuosavybės kainos, eksploatacijos ir reguliacinės krypties klausimas.</w:t>
      </w:r>
    </w:p>
    <w:p w14:paraId="407E357D"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Iš 150 pirmojo etapo automobilių 89 bus skirti Lietuvoje veikiančioms „Civinity“ įmonėms, 61 – Latvijos įmonėms. Transporto priemonės bus naudojamos pastatų administravimo, techninės priežiūros ir inžinerinių komandų veikloje Vilniuje, Kaune, Klaipėdoje, Šiauliuose, Panevėžyje, Palangoje, Kretingoje, Rygoje, Jūrmaloje, Jelgavoje ir kitur.</w:t>
      </w:r>
    </w:p>
    <w:p w14:paraId="44D6C1F2"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 xml:space="preserve">Naujasis užsakymas apims „Toyota </w:t>
      </w:r>
      <w:proofErr w:type="spellStart"/>
      <w:r w:rsidRPr="009F704C">
        <w:rPr>
          <w:rFonts w:ascii="Verdana" w:eastAsia="Open Sans" w:hAnsi="Verdana" w:cs="Open Sans"/>
          <w:sz w:val="18"/>
          <w:szCs w:val="18"/>
        </w:rPr>
        <w:t>Proace</w:t>
      </w:r>
      <w:proofErr w:type="spellEnd"/>
      <w:r w:rsidRPr="009F704C">
        <w:rPr>
          <w:rFonts w:ascii="Verdana" w:eastAsia="Open Sans" w:hAnsi="Verdana" w:cs="Open Sans"/>
          <w:sz w:val="18"/>
          <w:szCs w:val="18"/>
        </w:rPr>
        <w:t xml:space="preserve"> </w:t>
      </w:r>
      <w:proofErr w:type="spellStart"/>
      <w:r w:rsidRPr="009F704C">
        <w:rPr>
          <w:rFonts w:ascii="Verdana" w:eastAsia="Open Sans" w:hAnsi="Verdana" w:cs="Open Sans"/>
          <w:sz w:val="18"/>
          <w:szCs w:val="18"/>
        </w:rPr>
        <w:t>City</w:t>
      </w:r>
      <w:proofErr w:type="spellEnd"/>
      <w:r w:rsidRPr="009F704C">
        <w:rPr>
          <w:rFonts w:ascii="Verdana" w:eastAsia="Open Sans" w:hAnsi="Verdana" w:cs="Open Sans"/>
          <w:sz w:val="18"/>
          <w:szCs w:val="18"/>
        </w:rPr>
        <w:t>“, „</w:t>
      </w:r>
      <w:proofErr w:type="spellStart"/>
      <w:r w:rsidRPr="009F704C">
        <w:rPr>
          <w:rFonts w:ascii="Verdana" w:eastAsia="Open Sans" w:hAnsi="Verdana" w:cs="Open Sans"/>
          <w:sz w:val="18"/>
          <w:szCs w:val="18"/>
        </w:rPr>
        <w:t>Proace</w:t>
      </w:r>
      <w:proofErr w:type="spellEnd"/>
      <w:r w:rsidRPr="009F704C">
        <w:rPr>
          <w:rFonts w:ascii="Verdana" w:eastAsia="Open Sans" w:hAnsi="Verdana" w:cs="Open Sans"/>
          <w:sz w:val="18"/>
          <w:szCs w:val="18"/>
        </w:rPr>
        <w:t xml:space="preserve"> </w:t>
      </w:r>
      <w:proofErr w:type="spellStart"/>
      <w:r w:rsidRPr="009F704C">
        <w:rPr>
          <w:rFonts w:ascii="Verdana" w:eastAsia="Open Sans" w:hAnsi="Verdana" w:cs="Open Sans"/>
          <w:sz w:val="18"/>
          <w:szCs w:val="18"/>
        </w:rPr>
        <w:t>Medium</w:t>
      </w:r>
      <w:proofErr w:type="spellEnd"/>
      <w:r w:rsidRPr="009F704C">
        <w:rPr>
          <w:rFonts w:ascii="Verdana" w:eastAsia="Open Sans" w:hAnsi="Verdana" w:cs="Open Sans"/>
          <w:sz w:val="18"/>
          <w:szCs w:val="18"/>
        </w:rPr>
        <w:t>“ ir „</w:t>
      </w:r>
      <w:proofErr w:type="spellStart"/>
      <w:r w:rsidRPr="009F704C">
        <w:rPr>
          <w:rFonts w:ascii="Verdana" w:eastAsia="Open Sans" w:hAnsi="Verdana" w:cs="Open Sans"/>
          <w:sz w:val="18"/>
          <w:szCs w:val="18"/>
        </w:rPr>
        <w:t>Proace</w:t>
      </w:r>
      <w:proofErr w:type="spellEnd"/>
      <w:r w:rsidRPr="009F704C">
        <w:rPr>
          <w:rFonts w:ascii="Verdana" w:eastAsia="Open Sans" w:hAnsi="Verdana" w:cs="Open Sans"/>
          <w:sz w:val="18"/>
          <w:szCs w:val="18"/>
        </w:rPr>
        <w:t xml:space="preserve"> </w:t>
      </w:r>
      <w:proofErr w:type="spellStart"/>
      <w:r w:rsidRPr="009F704C">
        <w:rPr>
          <w:rFonts w:ascii="Verdana" w:eastAsia="Open Sans" w:hAnsi="Verdana" w:cs="Open Sans"/>
          <w:sz w:val="18"/>
          <w:szCs w:val="18"/>
        </w:rPr>
        <w:t>Max</w:t>
      </w:r>
      <w:proofErr w:type="spellEnd"/>
      <w:r w:rsidRPr="009F704C">
        <w:rPr>
          <w:rFonts w:ascii="Verdana" w:eastAsia="Open Sans" w:hAnsi="Verdana" w:cs="Open Sans"/>
          <w:sz w:val="18"/>
          <w:szCs w:val="18"/>
        </w:rPr>
        <w:t>“ automobilius, kurių dauguma – elektromobiliai. Didelė dalis atnaujinimo bus orientuota į mažesnės emisijos transportą, tačiau nedidelė dalis didžiųjų furgonų (7 automobiliai) bus su vidaus degimo varikliais – ten, kur to reikia dėl didesnių atstumų, intensyvesnės eksploatacijos ar specialių techninių poreikių.</w:t>
      </w:r>
    </w:p>
    <w:p w14:paraId="7DDB29F7"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Kartu su autoparko atnaujinimu „Civinity“ planuoja plėsti ir įkrovimo infrastruktūrą. Įkrovimo vietas numatoma vystyti prie grupės biurų ir techninių patalpų, o kasdieniam naudojimui bus sudaromos sutartys su viešųjų įkrovimo stotelių operatoriais.</w:t>
      </w:r>
    </w:p>
    <w:p w14:paraId="5BE5ECC1"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Atskiras dėmesys bus skiriamas vairuotojų mokymams. Darbuotojai bus supažindinami su elektromobilių vairavimo specifika, įkrovimo praktika, efektyvaus naudojimo principais ir skirtingų sezonų eksploatacijos ypatumais.</w:t>
      </w:r>
    </w:p>
    <w:p w14:paraId="1EB883E7"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 xml:space="preserve">Automobilius centralizuotai įsigis grupės įmonė „Civinity </w:t>
      </w:r>
      <w:proofErr w:type="spellStart"/>
      <w:r w:rsidRPr="009F704C">
        <w:rPr>
          <w:rFonts w:ascii="Verdana" w:eastAsia="Open Sans" w:hAnsi="Verdana" w:cs="Open Sans"/>
          <w:sz w:val="18"/>
          <w:szCs w:val="18"/>
        </w:rPr>
        <w:t>Rent</w:t>
      </w:r>
      <w:proofErr w:type="spellEnd"/>
      <w:r w:rsidRPr="009F704C">
        <w:rPr>
          <w:rFonts w:ascii="Verdana" w:eastAsia="Open Sans" w:hAnsi="Verdana" w:cs="Open Sans"/>
          <w:sz w:val="18"/>
          <w:szCs w:val="18"/>
        </w:rPr>
        <w:t>“. Ji bus atsakinga už jų finansavimą, draudimą, nuomą grupės bendrovėms ir transporto priemonių keitimą pasibaigus nustatytam naudojimo laikotarpiui.</w:t>
      </w:r>
    </w:p>
    <w:p w14:paraId="27A8FBF4" w14:textId="77777777" w:rsidR="009F704C" w:rsidRPr="009F704C" w:rsidRDefault="009F704C" w:rsidP="009F704C">
      <w:pPr>
        <w:spacing w:after="120"/>
        <w:jc w:val="both"/>
        <w:rPr>
          <w:rFonts w:ascii="Verdana" w:eastAsia="Open Sans" w:hAnsi="Verdana" w:cs="Open Sans"/>
          <w:sz w:val="18"/>
          <w:szCs w:val="18"/>
        </w:rPr>
      </w:pPr>
      <w:r w:rsidRPr="009F704C">
        <w:rPr>
          <w:rFonts w:ascii="Verdana" w:eastAsia="Open Sans" w:hAnsi="Verdana" w:cs="Open Sans"/>
          <w:sz w:val="18"/>
          <w:szCs w:val="18"/>
        </w:rPr>
        <w:t>Autoparko atnaujinimas bus įtrauktas į grupės ESG ataskaitas. „Civinity“ numato skaičiuoti projekto poveikį pagal šiltnamio efektą sukeliančių dujų emisijų apskaitos logiką ir naudoti sukauptus duomenis planuojant tolesnius etapus. Šiuo metu grupės įmonės valdo beveik 400 automobilių parką, kurį, kaip anksčiau skelbė „Civinity“, planuojama optimizuoti bei atnaujinti per kelis etapus ir iki 2028 m. pakeisti iki 350 automobilių Lietuvoje bei Latvijoje.</w:t>
      </w:r>
    </w:p>
    <w:p w14:paraId="18D67A9D" w14:textId="77777777" w:rsidR="009F704C" w:rsidRPr="009F704C" w:rsidRDefault="009F704C" w:rsidP="009F704C">
      <w:pPr>
        <w:spacing w:after="120"/>
        <w:jc w:val="both"/>
        <w:rPr>
          <w:rFonts w:ascii="Verdana" w:eastAsia="Open Sans" w:hAnsi="Verdana" w:cs="Open Sans"/>
          <w:sz w:val="18"/>
          <w:szCs w:val="18"/>
          <w:lang w:val="en-LT"/>
        </w:rPr>
      </w:pPr>
      <w:r w:rsidRPr="009F704C">
        <w:rPr>
          <w:rFonts w:ascii="Verdana" w:eastAsia="Open Sans" w:hAnsi="Verdana" w:cs="Open Sans"/>
          <w:sz w:val="18"/>
          <w:szCs w:val="18"/>
          <w:lang w:val="en-LT"/>
        </w:rPr>
        <w:t>Autoparkas yra viena iš sričių, kuriose poveikį galima mažinti greičiausiai. Pastatų priežiūros ir administravimo veikloje mobilumas yra būtina paslaugos dalis: komandos kasdien važiuoja pas klientus, sprendžia incidentus, vykdo apžiūras, inžinerinius darbus, todėl transporto sprendimai tiesiogiai veikia paslaugų kokybę, o žalios energijos pasirinkimas – poveikį aplinkai.</w:t>
      </w:r>
    </w:p>
    <w:p w14:paraId="3530FED5" w14:textId="464B2F4D" w:rsidR="006823BA" w:rsidRPr="009F704C" w:rsidRDefault="009F704C" w:rsidP="004A6162">
      <w:pPr>
        <w:spacing w:after="120"/>
        <w:jc w:val="both"/>
        <w:rPr>
          <w:rFonts w:ascii="Verdana" w:eastAsia="Open Sans" w:hAnsi="Verdana" w:cs="Open Sans"/>
          <w:sz w:val="18"/>
          <w:szCs w:val="18"/>
          <w:lang w:val="en-LT"/>
        </w:rPr>
      </w:pPr>
      <w:r w:rsidRPr="009F704C">
        <w:rPr>
          <w:rFonts w:ascii="Verdana" w:eastAsia="Open Sans" w:hAnsi="Verdana" w:cs="Open Sans"/>
          <w:sz w:val="18"/>
          <w:szCs w:val="18"/>
          <w:lang w:val="en-LT"/>
        </w:rPr>
        <w:t xml:space="preserve">„Mūsų požiūris į tvarumą yra labai paprastas: jei norime kurti išmanų žalią miestą, turime pradėti nuo savo kasdienės praktikos. Mobilumas – viena iš tų sričių, kur pokytis matomas greitai. Ir tai nėra „žaliasis smegenų </w:t>
      </w:r>
      <w:r w:rsidRPr="009F704C">
        <w:rPr>
          <w:rFonts w:ascii="Verdana" w:eastAsia="Open Sans" w:hAnsi="Verdana" w:cs="Open Sans"/>
          <w:sz w:val="18"/>
          <w:szCs w:val="18"/>
          <w:lang w:val="en-LT"/>
        </w:rPr>
        <w:lastRenderedPageBreak/>
        <w:t>plovimas“, o žingsnis, mažinantis taršą ir triukšmą gyvenamuosiuose rajonuose, kur dirba mūsų komandos, ir padedantis nuosekliai pereiti prie mažesnės emisijos veiklos modelio“, – sako D. Jacka.</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0"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1"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6CC9CE" w14:textId="77777777" w:rsidR="00F657D5" w:rsidRDefault="00F657D5">
      <w:r>
        <w:separator/>
      </w:r>
    </w:p>
  </w:endnote>
  <w:endnote w:type="continuationSeparator" w:id="0">
    <w:p w14:paraId="6A30E0AE" w14:textId="77777777" w:rsidR="00F657D5" w:rsidRDefault="00F6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F1F0E9" w14:textId="77777777" w:rsidR="00F657D5" w:rsidRDefault="00F657D5">
      <w:r>
        <w:separator/>
      </w:r>
    </w:p>
  </w:footnote>
  <w:footnote w:type="continuationSeparator" w:id="0">
    <w:p w14:paraId="3FB09CF0" w14:textId="77777777" w:rsidR="00F657D5" w:rsidRDefault="00F6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3FF"/>
    <w:rsid w:val="0004204D"/>
    <w:rsid w:val="00055678"/>
    <w:rsid w:val="000636A0"/>
    <w:rsid w:val="0006387A"/>
    <w:rsid w:val="0006602E"/>
    <w:rsid w:val="00072C77"/>
    <w:rsid w:val="00077104"/>
    <w:rsid w:val="00084BE5"/>
    <w:rsid w:val="00095801"/>
    <w:rsid w:val="000962C7"/>
    <w:rsid w:val="00096E5D"/>
    <w:rsid w:val="000D12A5"/>
    <w:rsid w:val="000E0DAE"/>
    <w:rsid w:val="000E153A"/>
    <w:rsid w:val="000E4D09"/>
    <w:rsid w:val="000F2D31"/>
    <w:rsid w:val="00111FE2"/>
    <w:rsid w:val="0011607C"/>
    <w:rsid w:val="00123E72"/>
    <w:rsid w:val="00123E82"/>
    <w:rsid w:val="001454E0"/>
    <w:rsid w:val="0015136E"/>
    <w:rsid w:val="00161834"/>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64C36"/>
    <w:rsid w:val="002A32B2"/>
    <w:rsid w:val="002A611A"/>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A55C0"/>
    <w:rsid w:val="003B2ADD"/>
    <w:rsid w:val="003C003B"/>
    <w:rsid w:val="003D046C"/>
    <w:rsid w:val="003E24E2"/>
    <w:rsid w:val="003F2B29"/>
    <w:rsid w:val="00404095"/>
    <w:rsid w:val="00420543"/>
    <w:rsid w:val="00443752"/>
    <w:rsid w:val="00450A97"/>
    <w:rsid w:val="00455384"/>
    <w:rsid w:val="00473813"/>
    <w:rsid w:val="00496A12"/>
    <w:rsid w:val="004A6162"/>
    <w:rsid w:val="004D6132"/>
    <w:rsid w:val="004E5721"/>
    <w:rsid w:val="004E63E6"/>
    <w:rsid w:val="004F0C36"/>
    <w:rsid w:val="0050066A"/>
    <w:rsid w:val="00502177"/>
    <w:rsid w:val="005058C5"/>
    <w:rsid w:val="005217E7"/>
    <w:rsid w:val="0052614C"/>
    <w:rsid w:val="005277DA"/>
    <w:rsid w:val="005612B6"/>
    <w:rsid w:val="0056597C"/>
    <w:rsid w:val="005746E0"/>
    <w:rsid w:val="005779B4"/>
    <w:rsid w:val="005B4564"/>
    <w:rsid w:val="005C44DE"/>
    <w:rsid w:val="005D1672"/>
    <w:rsid w:val="005D38C0"/>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45082"/>
    <w:rsid w:val="0075672B"/>
    <w:rsid w:val="00787E74"/>
    <w:rsid w:val="00793557"/>
    <w:rsid w:val="00794B19"/>
    <w:rsid w:val="007958A4"/>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9F704C"/>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49AD"/>
    <w:rsid w:val="00BC4DA1"/>
    <w:rsid w:val="00BF4B80"/>
    <w:rsid w:val="00BF6B8A"/>
    <w:rsid w:val="00C07391"/>
    <w:rsid w:val="00C32916"/>
    <w:rsid w:val="00C56502"/>
    <w:rsid w:val="00C706B9"/>
    <w:rsid w:val="00C744DD"/>
    <w:rsid w:val="00C91765"/>
    <w:rsid w:val="00CA3006"/>
    <w:rsid w:val="00CA7B55"/>
    <w:rsid w:val="00CB2058"/>
    <w:rsid w:val="00CC19A7"/>
    <w:rsid w:val="00CE1293"/>
    <w:rsid w:val="00CE67E6"/>
    <w:rsid w:val="00D24ACA"/>
    <w:rsid w:val="00D43EC1"/>
    <w:rsid w:val="00D53E3A"/>
    <w:rsid w:val="00D67221"/>
    <w:rsid w:val="00D82DAC"/>
    <w:rsid w:val="00D93BAC"/>
    <w:rsid w:val="00DB1932"/>
    <w:rsid w:val="00DC305D"/>
    <w:rsid w:val="00DC67DB"/>
    <w:rsid w:val="00DE3369"/>
    <w:rsid w:val="00DE3D14"/>
    <w:rsid w:val="00DF62A5"/>
    <w:rsid w:val="00E02BE7"/>
    <w:rsid w:val="00E12571"/>
    <w:rsid w:val="00E5309B"/>
    <w:rsid w:val="00E53A5C"/>
    <w:rsid w:val="00E6086B"/>
    <w:rsid w:val="00E72F4E"/>
    <w:rsid w:val="00E8046E"/>
    <w:rsid w:val="00E869B0"/>
    <w:rsid w:val="00E9154B"/>
    <w:rsid w:val="00E91CA4"/>
    <w:rsid w:val="00ED432F"/>
    <w:rsid w:val="00EE5181"/>
    <w:rsid w:val="00EF6B23"/>
    <w:rsid w:val="00F408AA"/>
    <w:rsid w:val="00F460DB"/>
    <w:rsid w:val="00F461C9"/>
    <w:rsid w:val="00F614FB"/>
    <w:rsid w:val="00F6561D"/>
    <w:rsid w:val="00F657D5"/>
    <w:rsid w:val="00F83D3B"/>
    <w:rsid w:val="00F85BD4"/>
    <w:rsid w:val="00F90C9A"/>
    <w:rsid w:val="00F925A5"/>
    <w:rsid w:val="00F9294D"/>
    <w:rsid w:val="00FA7DD6"/>
    <w:rsid w:val="00FB7F01"/>
    <w:rsid w:val="00FC38EB"/>
    <w:rsid w:val="00FC7AC6"/>
    <w:rsid w:val="00FD30FC"/>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2.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697</Words>
  <Characters>4746</Characters>
  <Application>Microsoft Office Word</Application>
  <DocSecurity>0</DocSecurity>
  <Lines>62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4</cp:revision>
  <dcterms:created xsi:type="dcterms:W3CDTF">2026-06-22T06:16:00Z</dcterms:created>
  <dcterms:modified xsi:type="dcterms:W3CDTF">2026-06-22T06:18:00Z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