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D146A6" w14:textId="77777777" w:rsidR="00AC0DE3" w:rsidRPr="00E06080" w:rsidRDefault="00E06080">
      <w:pPr>
        <w:rPr>
          <w:rFonts w:ascii="Inter" w:eastAsia="Inter" w:hAnsi="Inter" w:cs="Inter"/>
          <w:color w:val="666666"/>
          <w:sz w:val="20"/>
          <w:szCs w:val="20"/>
          <w:lang w:val="lt-LT"/>
        </w:rPr>
      </w:pPr>
      <w:r w:rsidRPr="00E06080">
        <w:rPr>
          <w:rFonts w:ascii="Inter" w:eastAsia="Inter" w:hAnsi="Inter" w:cs="Inter"/>
          <w:color w:val="666666"/>
          <w:sz w:val="20"/>
          <w:szCs w:val="20"/>
          <w:lang w:val="lt-LT"/>
        </w:rPr>
        <w:t>Pranešimas žiniasklaidai</w:t>
      </w:r>
    </w:p>
    <w:p w14:paraId="56902EBD" w14:textId="77777777" w:rsidR="00AC0DE3" w:rsidRPr="00E06080" w:rsidRDefault="00E06080">
      <w:pPr>
        <w:rPr>
          <w:rFonts w:ascii="Inter" w:eastAsia="Inter" w:hAnsi="Inter" w:cs="Inter"/>
          <w:color w:val="666666"/>
          <w:sz w:val="20"/>
          <w:szCs w:val="20"/>
          <w:lang w:val="lt-LT"/>
        </w:rPr>
      </w:pPr>
      <w:r w:rsidRPr="00E06080">
        <w:rPr>
          <w:rFonts w:ascii="Inter" w:eastAsia="Inter" w:hAnsi="Inter" w:cs="Inter"/>
          <w:color w:val="666666"/>
          <w:sz w:val="20"/>
          <w:szCs w:val="20"/>
          <w:lang w:val="lt-LT"/>
        </w:rPr>
        <w:t xml:space="preserve">2026 m. birželio 30 d. </w:t>
      </w:r>
    </w:p>
    <w:p w14:paraId="745DD9CE" w14:textId="77777777" w:rsidR="00AC0DE3" w:rsidRPr="00E06080" w:rsidRDefault="00000000" w:rsidP="003F0992">
      <w:pPr>
        <w:spacing w:before="240" w:after="240"/>
        <w:jc w:val="both"/>
        <w:rPr>
          <w:rFonts w:ascii="Inter Medium" w:eastAsia="Inter Medium" w:hAnsi="Inter Medium" w:cs="Inter Medium"/>
          <w:color w:val="434343"/>
          <w:sz w:val="32"/>
          <w:szCs w:val="32"/>
          <w:lang w:val="lt-LT"/>
        </w:rPr>
      </w:pPr>
      <w:r w:rsidRPr="00E06080">
        <w:rPr>
          <w:rFonts w:ascii="Inter Medium" w:eastAsia="Inter Medium" w:hAnsi="Inter Medium" w:cs="Inter Medium"/>
          <w:color w:val="434343"/>
          <w:sz w:val="32"/>
          <w:szCs w:val="32"/>
          <w:lang w:val="lt-LT"/>
        </w:rPr>
        <w:t>Lietuvos gyventojų indėliai per metus augo iki 30,6 mlrd. eurų, bet palūkanos išlieka žemos</w:t>
      </w:r>
    </w:p>
    <w:p w14:paraId="4F79A92C" w14:textId="77777777" w:rsidR="00AC0DE3" w:rsidRPr="00E06080" w:rsidRDefault="00000000" w:rsidP="002D3819">
      <w:pPr>
        <w:spacing w:before="240" w:after="240"/>
        <w:jc w:val="both"/>
        <w:rPr>
          <w:rFonts w:ascii="Inter" w:eastAsia="Inter" w:hAnsi="Inter" w:cs="Inter"/>
          <w:b/>
          <w:bCs/>
          <w:lang w:val="lt-LT"/>
        </w:rPr>
      </w:pPr>
      <w:r w:rsidRPr="00E06080">
        <w:rPr>
          <w:rFonts w:ascii="Inter" w:eastAsia="Inter" w:hAnsi="Inter" w:cs="Inter"/>
          <w:b/>
          <w:bCs/>
          <w:lang w:val="lt-LT"/>
        </w:rPr>
        <w:t>Lietuvos gyventojų indėliai kredito įstaigose siekė 30,6 mlrd. eurų, o jų metinis augimo tempas sudarė 18,9 proc., rodo naujausi 2026 m. balandžio mėn. Lietuvos banko duomenys. Tą patį mėnesį namų ūkių naujų terminuotųjų indėlių palūkanų norma siekė 1,79 proc. Vis dėlto Baltijos šalyse matoma ir kita kryptis – nors didelė dalis gyventojų lėšų tebelaikoma indėliuose, finansų rinkos priemonės palaipsniui užima didesnę namų ūkių finansinio turto dalį.</w:t>
      </w:r>
    </w:p>
    <w:p w14:paraId="095BE836" w14:textId="77777777" w:rsidR="00AC0DE3" w:rsidRPr="00E06080" w:rsidRDefault="00000000" w:rsidP="002D3819">
      <w:pPr>
        <w:spacing w:before="240" w:after="240"/>
        <w:jc w:val="both"/>
        <w:rPr>
          <w:rFonts w:ascii="Inter" w:eastAsia="Inter" w:hAnsi="Inter" w:cs="Inter"/>
          <w:lang w:val="lt-LT"/>
        </w:rPr>
      </w:pPr>
      <w:r w:rsidRPr="00E06080">
        <w:rPr>
          <w:rFonts w:ascii="Inter" w:eastAsia="Inter" w:hAnsi="Inter" w:cs="Inter"/>
          <w:lang w:val="lt-LT"/>
        </w:rPr>
        <w:t xml:space="preserve">Pasak pirmaujančios Europos diversifikuotų investicijų investavimo platformos „Mintos“ vadovo ir vieno iš įkūrėjų </w:t>
      </w:r>
      <w:proofErr w:type="spellStart"/>
      <w:r w:rsidRPr="00E06080">
        <w:rPr>
          <w:rFonts w:ascii="Inter" w:eastAsia="Inter" w:hAnsi="Inter" w:cs="Inter"/>
          <w:lang w:val="lt-LT"/>
        </w:rPr>
        <w:t>Martins</w:t>
      </w:r>
      <w:proofErr w:type="spellEnd"/>
      <w:r w:rsidRPr="00E06080">
        <w:rPr>
          <w:rFonts w:ascii="Inter" w:eastAsia="Inter" w:hAnsi="Inter" w:cs="Inter"/>
          <w:lang w:val="lt-LT"/>
        </w:rPr>
        <w:t xml:space="preserve"> </w:t>
      </w:r>
      <w:proofErr w:type="spellStart"/>
      <w:r w:rsidRPr="00E06080">
        <w:rPr>
          <w:rFonts w:ascii="Inter" w:eastAsia="Inter" w:hAnsi="Inter" w:cs="Inter"/>
          <w:lang w:val="lt-LT"/>
        </w:rPr>
        <w:t>Sulte</w:t>
      </w:r>
      <w:proofErr w:type="spellEnd"/>
      <w:r w:rsidRPr="00E06080">
        <w:rPr>
          <w:rFonts w:ascii="Inter" w:eastAsia="Inter" w:hAnsi="Inter" w:cs="Inter"/>
          <w:lang w:val="lt-LT"/>
        </w:rPr>
        <w:t>, Baltijos šalyse svarbu vertinti ne tik tai, kiek pinigų gyventojai laiko indėliuose, bet ir tai, kokią grąžą šios lėšos uždirba.</w:t>
      </w:r>
    </w:p>
    <w:p w14:paraId="25E81053" w14:textId="77777777" w:rsidR="00AC0DE3" w:rsidRPr="00E06080" w:rsidRDefault="00000000" w:rsidP="002D3819">
      <w:pPr>
        <w:spacing w:before="240" w:after="240"/>
        <w:jc w:val="both"/>
        <w:rPr>
          <w:rFonts w:ascii="Inter" w:eastAsia="Inter" w:hAnsi="Inter" w:cs="Inter"/>
          <w:lang w:val="lt-LT"/>
        </w:rPr>
      </w:pPr>
      <w:r w:rsidRPr="00E06080">
        <w:rPr>
          <w:rFonts w:ascii="Inter" w:eastAsia="Inter" w:hAnsi="Inter" w:cs="Inter"/>
          <w:lang w:val="lt-LT"/>
        </w:rPr>
        <w:t xml:space="preserve">„Daugelyje Baltijos šalių indėlių palūkanos šiandien sukasi apie 2 proc. Tokia grąža geriausiu atveju padeda atsverti infliaciją, bet vargu ar leidžia reikšmingiau auginti sukauptą turtą. Dažnai žmonės renkasi indėlius ne todėl, kad būtų detaliai įsivertinę alternatyvas, o dėl to, kad indėliai atrodo pažįstami, o investavimas – sudėtingesnis. Iš esmės tai yra ne pinigų, bet pasitikėjimo ir supratimo klausimas, o juos galima auginti“, – sako M. </w:t>
      </w:r>
      <w:proofErr w:type="spellStart"/>
      <w:r w:rsidRPr="00E06080">
        <w:rPr>
          <w:rFonts w:ascii="Inter" w:eastAsia="Inter" w:hAnsi="Inter" w:cs="Inter"/>
          <w:lang w:val="lt-LT"/>
        </w:rPr>
        <w:t>Sulte</w:t>
      </w:r>
      <w:proofErr w:type="spellEnd"/>
      <w:r w:rsidRPr="00E06080">
        <w:rPr>
          <w:rFonts w:ascii="Inter" w:eastAsia="Inter" w:hAnsi="Inter" w:cs="Inter"/>
          <w:lang w:val="lt-LT"/>
        </w:rPr>
        <w:t>.</w:t>
      </w:r>
    </w:p>
    <w:p w14:paraId="52C6F62D" w14:textId="77777777" w:rsidR="00AC0DE3" w:rsidRPr="00E06080" w:rsidRDefault="00000000" w:rsidP="002D3819">
      <w:pPr>
        <w:spacing w:before="240" w:after="240"/>
        <w:jc w:val="both"/>
        <w:rPr>
          <w:rFonts w:ascii="Inter" w:eastAsia="Inter" w:hAnsi="Inter" w:cs="Inter"/>
          <w:b/>
          <w:bCs/>
          <w:lang w:val="lt-LT"/>
        </w:rPr>
      </w:pPr>
      <w:r w:rsidRPr="00E06080">
        <w:rPr>
          <w:rFonts w:ascii="Inter" w:eastAsia="Inter" w:hAnsi="Inter" w:cs="Inter"/>
          <w:b/>
          <w:bCs/>
          <w:lang w:val="lt-LT"/>
        </w:rPr>
        <w:t>Lietuvoje investavimo priemonės sudaro augančią turto dalį</w:t>
      </w:r>
    </w:p>
    <w:p w14:paraId="35DEF4C4" w14:textId="77777777" w:rsidR="00AC0DE3" w:rsidRPr="00E06080" w:rsidRDefault="00000000" w:rsidP="002D3819">
      <w:pPr>
        <w:spacing w:before="240" w:after="240"/>
        <w:jc w:val="both"/>
        <w:rPr>
          <w:rFonts w:ascii="Inter" w:eastAsia="Inter" w:hAnsi="Inter" w:cs="Inter"/>
          <w:lang w:val="lt-LT"/>
        </w:rPr>
      </w:pPr>
      <w:r w:rsidRPr="00E06080">
        <w:rPr>
          <w:rFonts w:ascii="Inter" w:eastAsia="Inter" w:hAnsi="Inter" w:cs="Inter"/>
          <w:lang w:val="lt-LT"/>
        </w:rPr>
        <w:t>Šalia sparčiai augančių indėlių palaipsniui didėja ir gyventojų dalyvavimas finansų rinkose, rodo Lietuvos banko duomenys. 2024 m. individualių investuotojų turimų finansinių priemonių – akcijų, obligacijų, fondų ir kitų instrumentų – vertė Lietuvoje siekė apie 3,3 mlrd. eurų.</w:t>
      </w:r>
    </w:p>
    <w:p w14:paraId="4560C391" w14:textId="77777777" w:rsidR="00AC0DE3" w:rsidRPr="00E06080" w:rsidRDefault="00000000" w:rsidP="002D3819">
      <w:pPr>
        <w:spacing w:before="240" w:after="240"/>
        <w:jc w:val="both"/>
        <w:rPr>
          <w:rFonts w:ascii="Inter" w:eastAsia="Inter" w:hAnsi="Inter" w:cs="Inter"/>
          <w:lang w:val="lt-LT"/>
        </w:rPr>
      </w:pPr>
      <w:r w:rsidRPr="00E06080">
        <w:rPr>
          <w:rFonts w:ascii="Inter" w:eastAsia="Inter" w:hAnsi="Inter" w:cs="Inter"/>
          <w:lang w:val="lt-LT"/>
        </w:rPr>
        <w:t xml:space="preserve">Ši suma tebėra gerokai mažesnė nei gyventojų indėliai kredito įstaigose, tačiau kryptis rodo pamažu stiprėjantį gyventojų įsitraukimą į finansų rinkas, priduria M. </w:t>
      </w:r>
      <w:proofErr w:type="spellStart"/>
      <w:r w:rsidRPr="00E06080">
        <w:rPr>
          <w:rFonts w:ascii="Inter" w:eastAsia="Inter" w:hAnsi="Inter" w:cs="Inter"/>
          <w:lang w:val="lt-LT"/>
        </w:rPr>
        <w:t>Sulte</w:t>
      </w:r>
      <w:proofErr w:type="spellEnd"/>
      <w:r w:rsidRPr="00E06080">
        <w:rPr>
          <w:rFonts w:ascii="Inter" w:eastAsia="Inter" w:hAnsi="Inter" w:cs="Inter"/>
          <w:lang w:val="lt-LT"/>
        </w:rPr>
        <w:t>.</w:t>
      </w:r>
    </w:p>
    <w:p w14:paraId="2C3B6CA4" w14:textId="77777777" w:rsidR="00AC0DE3" w:rsidRPr="00E06080" w:rsidRDefault="00000000" w:rsidP="002D3819">
      <w:pPr>
        <w:spacing w:before="240" w:after="240"/>
        <w:jc w:val="both"/>
        <w:rPr>
          <w:rFonts w:ascii="Inter" w:eastAsia="Inter" w:hAnsi="Inter" w:cs="Inter"/>
          <w:b/>
          <w:bCs/>
          <w:lang w:val="lt-LT"/>
        </w:rPr>
      </w:pPr>
      <w:r w:rsidRPr="00E06080">
        <w:rPr>
          <w:rFonts w:ascii="Inter" w:eastAsia="Inter" w:hAnsi="Inter" w:cs="Inter"/>
          <w:b/>
          <w:bCs/>
          <w:lang w:val="lt-LT"/>
        </w:rPr>
        <w:t>Estijoje finansinio turto struktūra keitėsi sparčiausiai</w:t>
      </w:r>
    </w:p>
    <w:p w14:paraId="7EC396AE" w14:textId="77777777" w:rsidR="00AC0DE3" w:rsidRPr="00E06080" w:rsidRDefault="00000000" w:rsidP="002D3819">
      <w:pPr>
        <w:spacing w:before="240" w:after="240"/>
        <w:jc w:val="both"/>
        <w:rPr>
          <w:rFonts w:ascii="Inter" w:eastAsia="Inter" w:hAnsi="Inter" w:cs="Inter"/>
          <w:lang w:val="lt-LT"/>
        </w:rPr>
      </w:pPr>
      <w:r w:rsidRPr="00E06080">
        <w:rPr>
          <w:rFonts w:ascii="Inter" w:eastAsia="Inter" w:hAnsi="Inter" w:cs="Inter"/>
          <w:lang w:val="lt-LT"/>
        </w:rPr>
        <w:t>Estijos duomenys rodo, kaip per ilgesnį laiką gali keistis namų ūkių finansinio turto struktūra. Šalies bankuose laikomi indėliai 2025 m. pabaigoje siekė 33,5 mlrd. eurų ir per metus padidėjo 5 proc., arba 1,5 mlrd. eurų. Vidutinė gyventojo einamosios sąskaitos suma siekė 3 530 eurų, o vidutinio indėlio suma – 8 251 eurą.</w:t>
      </w:r>
    </w:p>
    <w:p w14:paraId="30789FE0" w14:textId="77777777" w:rsidR="00AC0DE3" w:rsidRPr="00E06080" w:rsidRDefault="00000000" w:rsidP="002D3819">
      <w:pPr>
        <w:spacing w:before="240" w:after="240"/>
        <w:jc w:val="both"/>
        <w:rPr>
          <w:rFonts w:ascii="Inter" w:eastAsia="Inter" w:hAnsi="Inter" w:cs="Inter"/>
          <w:lang w:val="lt-LT"/>
        </w:rPr>
      </w:pPr>
      <w:r w:rsidRPr="00E06080">
        <w:rPr>
          <w:rFonts w:ascii="Inter" w:eastAsia="Inter" w:hAnsi="Inter" w:cs="Inter"/>
          <w:lang w:val="lt-LT"/>
        </w:rPr>
        <w:t>Tuo pat metu Estijoje reikšmingai augo ir investicinis finansinis turtas. 2025 m. antros ir trečios pensijų pakopos fondų turtas siekė 7,95 mlrd. eurų, alternatyvaus investavimo fondų turtas – 2,8 mlrd. eurų, per Estijos bankus ir investicines įmones laikomų vertybinių popierių vertė – dar 5,5 mlrd. eurų, o portfelio valdymo paslaugose valdomas turtas – 555 mln. eurų.</w:t>
      </w:r>
    </w:p>
    <w:p w14:paraId="1E9A2839" w14:textId="77777777" w:rsidR="00AC0DE3" w:rsidRPr="00E06080" w:rsidRDefault="00000000" w:rsidP="002D3819">
      <w:pPr>
        <w:spacing w:before="240" w:after="240"/>
        <w:jc w:val="both"/>
        <w:rPr>
          <w:rFonts w:ascii="Inter" w:eastAsia="Inter" w:hAnsi="Inter" w:cs="Inter"/>
          <w:lang w:val="lt-LT"/>
        </w:rPr>
      </w:pPr>
      <w:r w:rsidRPr="00E06080">
        <w:rPr>
          <w:rFonts w:ascii="Inter" w:eastAsia="Inter" w:hAnsi="Inter" w:cs="Inter"/>
          <w:lang w:val="lt-LT"/>
        </w:rPr>
        <w:lastRenderedPageBreak/>
        <w:t>Svarbus ir ilgesnio laikotarpio pokytis: 2013–2024 m. finansinis turtas – akcijos, fondai, obligacijos ir panašios priemonės – Estijos namų ūkių turte išaugo nuo maždaug 10 proc. iki 20 proc. Per dešimtmetį ši dalis padvigubėjo.</w:t>
      </w:r>
    </w:p>
    <w:p w14:paraId="1B05D000" w14:textId="77777777" w:rsidR="00AC0DE3" w:rsidRPr="00E06080" w:rsidRDefault="00000000" w:rsidP="002D3819">
      <w:pPr>
        <w:spacing w:before="240" w:after="240"/>
        <w:jc w:val="both"/>
        <w:rPr>
          <w:rFonts w:ascii="Inter" w:eastAsia="Inter" w:hAnsi="Inter" w:cs="Inter"/>
          <w:b/>
          <w:bCs/>
          <w:lang w:val="lt-LT"/>
        </w:rPr>
      </w:pPr>
      <w:r w:rsidRPr="00E06080">
        <w:rPr>
          <w:rFonts w:ascii="Inter" w:eastAsia="Inter" w:hAnsi="Inter" w:cs="Inter"/>
          <w:b/>
          <w:bCs/>
          <w:lang w:val="lt-LT"/>
        </w:rPr>
        <w:t xml:space="preserve">Latvijoje indėliai auga, paskatos juos fiksuoti ribotos </w:t>
      </w:r>
    </w:p>
    <w:p w14:paraId="490959CE" w14:textId="77777777" w:rsidR="00AC0DE3" w:rsidRPr="00E06080" w:rsidRDefault="00000000" w:rsidP="002D3819">
      <w:pPr>
        <w:spacing w:before="240" w:after="240"/>
        <w:jc w:val="both"/>
        <w:rPr>
          <w:rFonts w:ascii="Inter" w:eastAsia="Inter" w:hAnsi="Inter" w:cs="Inter"/>
          <w:lang w:val="lt-LT"/>
        </w:rPr>
      </w:pPr>
      <w:r w:rsidRPr="00E06080">
        <w:rPr>
          <w:rFonts w:ascii="Inter" w:eastAsia="Inter" w:hAnsi="Inter" w:cs="Inter"/>
          <w:lang w:val="lt-LT"/>
        </w:rPr>
        <w:t>Latvijoje gyventojų indėliai 2026 m. vasarį siekė 12,2 mlrd. eurų ir per metus buvo 8,6 proc. didesni, rodo Latvijos banko duomenys. Terminuotųjų indėlių palūkanos šalyje siekia apie 2 proc. – panašiai kaip valstybės taupymo obligacijų pajamingumas, kuris 12 mėnesių laikotarpiui sudaro apie 2,3 proc.</w:t>
      </w:r>
    </w:p>
    <w:p w14:paraId="06C70A75" w14:textId="77777777" w:rsidR="00AC0DE3" w:rsidRPr="00E06080" w:rsidRDefault="00000000" w:rsidP="002D3819">
      <w:pPr>
        <w:spacing w:before="240" w:after="240"/>
        <w:jc w:val="both"/>
        <w:rPr>
          <w:rFonts w:ascii="Inter" w:eastAsia="Inter" w:hAnsi="Inter" w:cs="Inter"/>
          <w:lang w:val="lt-LT"/>
        </w:rPr>
      </w:pPr>
      <w:r w:rsidRPr="00E06080">
        <w:rPr>
          <w:rFonts w:ascii="Inter" w:eastAsia="Inter" w:hAnsi="Inter" w:cs="Inter"/>
          <w:lang w:val="lt-LT"/>
        </w:rPr>
        <w:t xml:space="preserve">Pasak M. </w:t>
      </w:r>
      <w:proofErr w:type="spellStart"/>
      <w:r w:rsidRPr="00E06080">
        <w:rPr>
          <w:rFonts w:ascii="Inter" w:eastAsia="Inter" w:hAnsi="Inter" w:cs="Inter"/>
          <w:lang w:val="lt-LT"/>
        </w:rPr>
        <w:t>Sulte</w:t>
      </w:r>
      <w:proofErr w:type="spellEnd"/>
      <w:r w:rsidRPr="00E06080">
        <w:rPr>
          <w:rFonts w:ascii="Inter" w:eastAsia="Inter" w:hAnsi="Inter" w:cs="Inter"/>
          <w:lang w:val="lt-LT"/>
        </w:rPr>
        <w:t>, tai reiškia, kad finansinė paskata lėšas fiksuoti vienų metų indėlyje išlieka ribota. Lėšos bankų sąskaitose ir toliau auga, tačiau žemos palūkanos kelia klausimą, kiek toks pasirinkimas ilgainiui padeda išsaugoti ar auginti gyventojų perkamąją galią.</w:t>
      </w:r>
    </w:p>
    <w:p w14:paraId="1CE8DD15" w14:textId="77777777" w:rsidR="00AC0DE3" w:rsidRPr="00E06080" w:rsidRDefault="00000000" w:rsidP="002D3819">
      <w:pPr>
        <w:spacing w:before="240" w:after="240"/>
        <w:jc w:val="both"/>
        <w:rPr>
          <w:rFonts w:ascii="Inter" w:eastAsia="Inter" w:hAnsi="Inter" w:cs="Inter"/>
          <w:b/>
          <w:bCs/>
          <w:lang w:val="lt-LT"/>
        </w:rPr>
      </w:pPr>
      <w:r w:rsidRPr="00E06080">
        <w:rPr>
          <w:rFonts w:ascii="Inter" w:eastAsia="Inter" w:hAnsi="Inter" w:cs="Inter"/>
          <w:b/>
          <w:bCs/>
          <w:lang w:val="lt-LT"/>
        </w:rPr>
        <w:t xml:space="preserve">Kryptis keičiasi, bet įprotis išlieka stiprus </w:t>
      </w:r>
    </w:p>
    <w:p w14:paraId="2C763969" w14:textId="77777777" w:rsidR="00AC0DE3" w:rsidRPr="00E06080" w:rsidRDefault="00000000" w:rsidP="002D3819">
      <w:pPr>
        <w:spacing w:before="240" w:after="240"/>
        <w:jc w:val="both"/>
        <w:rPr>
          <w:rFonts w:ascii="Inter" w:eastAsia="Inter" w:hAnsi="Inter" w:cs="Inter"/>
          <w:lang w:val="lt-LT"/>
        </w:rPr>
      </w:pPr>
      <w:r w:rsidRPr="00E06080">
        <w:rPr>
          <w:rFonts w:ascii="Inter" w:eastAsia="Inter" w:hAnsi="Inter" w:cs="Inter"/>
          <w:lang w:val="lt-LT"/>
        </w:rPr>
        <w:t>Baltijos šalys nėra išimtis – Europos Centrinio Banko namų ūkių finansų ir vartojimo tyrimo duomenys rodo, kad didelė dalis Europos namų ūkių santaupų vis dar laikoma grynaisiais pinigais ir indėliuose. Vis dėlto Baltijos šalyse jau matomi pokyčio ženklai: finansų rinkų priemonės palaipsniui užima didesnę namų ūkių finansinio turto dalį, o 2026 m. sausio–balandžio mėn. „Mintos“ platformos duomenys rodo, kad regiono investuotojai lenkė platesnį EEE vidurkį pagal portfelių diversifikavimą ir aktyvumo augimą.</w:t>
      </w:r>
    </w:p>
    <w:p w14:paraId="4E852F42" w14:textId="77777777" w:rsidR="00AC0DE3" w:rsidRPr="00E06080" w:rsidRDefault="00000000" w:rsidP="002D3819">
      <w:pPr>
        <w:spacing w:before="240" w:after="240"/>
        <w:jc w:val="both"/>
        <w:rPr>
          <w:rFonts w:ascii="Inter" w:eastAsia="Inter" w:hAnsi="Inter" w:cs="Inter"/>
          <w:lang w:val="lt-LT"/>
        </w:rPr>
      </w:pPr>
      <w:r w:rsidRPr="00E06080">
        <w:rPr>
          <w:rFonts w:ascii="Inter" w:eastAsia="Inter" w:hAnsi="Inter" w:cs="Inter"/>
          <w:lang w:val="lt-LT"/>
        </w:rPr>
        <w:t xml:space="preserve">„Indėliai dar ilgai išliks svarbia gyventojų finansinio saugumo dalimi, tačiau vien jų nepakanka ilgalaikiam turto augimui. Baltijos šalyse jau matome laipsnišką perėjimą nuo vien taupymo prie platesnio finansinio planavimo – pokytį, kuris ilgainiui gali būti reikšmingas viso regiono kapitalo rinkoms“, – apibendrina M. </w:t>
      </w:r>
      <w:proofErr w:type="spellStart"/>
      <w:r w:rsidRPr="00E06080">
        <w:rPr>
          <w:rFonts w:ascii="Inter" w:eastAsia="Inter" w:hAnsi="Inter" w:cs="Inter"/>
          <w:lang w:val="lt-LT"/>
        </w:rPr>
        <w:t>Sulte</w:t>
      </w:r>
      <w:proofErr w:type="spellEnd"/>
      <w:r w:rsidRPr="00E06080">
        <w:rPr>
          <w:rFonts w:ascii="Inter" w:eastAsia="Inter" w:hAnsi="Inter" w:cs="Inter"/>
          <w:lang w:val="lt-LT"/>
        </w:rPr>
        <w:t>.</w:t>
      </w:r>
    </w:p>
    <w:sectPr w:rsidR="00AC0DE3" w:rsidRPr="00E06080" w:rsidSect="0037786A">
      <w:headerReference w:type="default" r:id="rId7"/>
      <w:footerReference w:type="default" r:id="rId8"/>
      <w:headerReference w:type="first" r:id="rId9"/>
      <w:pgSz w:w="11906" w:h="16838"/>
      <w:pgMar w:top="1440" w:right="685" w:bottom="1440" w:left="1440" w:header="566" w:footer="68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18B3AC" w14:textId="77777777" w:rsidR="001A78EE" w:rsidRDefault="001A78EE">
      <w:pPr>
        <w:spacing w:line="240" w:lineRule="auto"/>
      </w:pPr>
      <w:r>
        <w:separator/>
      </w:r>
    </w:p>
  </w:endnote>
  <w:endnote w:type="continuationSeparator" w:id="0">
    <w:p w14:paraId="16E7ADCA" w14:textId="77777777" w:rsidR="001A78EE" w:rsidRDefault="001A78E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BA"/>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Inter">
    <w:charset w:val="00"/>
    <w:family w:val="auto"/>
    <w:pitch w:val="default"/>
    <w:embedRegular r:id="rId1" w:fontKey="{EB69496B-EA0E-4B36-A09D-75EEFFAE7EF5}"/>
    <w:embedBold r:id="rId2" w:fontKey="{62CD4907-B37A-4EBF-B0ED-762F884545D8}"/>
  </w:font>
  <w:font w:name="Inter Medium">
    <w:charset w:val="00"/>
    <w:family w:val="auto"/>
    <w:pitch w:val="default"/>
    <w:embedRegular r:id="rId3" w:fontKey="{D2183C49-AA91-4496-85ED-3B11BA9D3D3A}"/>
  </w:font>
  <w:font w:name="Calibri">
    <w:panose1 w:val="020F0502020204030204"/>
    <w:charset w:val="BA"/>
    <w:family w:val="swiss"/>
    <w:pitch w:val="variable"/>
    <w:sig w:usb0="E4002EFF" w:usb1="C200247B" w:usb2="00000009" w:usb3="00000000" w:csb0="000001FF" w:csb1="00000000"/>
    <w:embedRegular r:id="rId4" w:fontKey="{B2B8C6CB-44E4-4136-982F-1D1B8B55DA42}"/>
  </w:font>
  <w:font w:name="Cambria">
    <w:panose1 w:val="02040503050406030204"/>
    <w:charset w:val="BA"/>
    <w:family w:val="roman"/>
    <w:pitch w:val="variable"/>
    <w:sig w:usb0="E00006FF" w:usb1="420024FF" w:usb2="02000000" w:usb3="00000000" w:csb0="0000019F" w:csb1="00000000"/>
    <w:embedRegular r:id="rId5" w:fontKey="{0540A97B-C6F7-432F-8A64-8178C876C8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12D637" w14:textId="77777777" w:rsidR="00AC0DE3" w:rsidRDefault="00AC0DE3">
    <w:pPr>
      <w:rPr>
        <w:rFonts w:ascii="Inter" w:eastAsia="Inter" w:hAnsi="Inter" w:cs="Inter"/>
        <w:color w:val="666666"/>
        <w:sz w:val="16"/>
        <w:szCs w:val="16"/>
      </w:rPr>
    </w:pPr>
  </w:p>
  <w:p w14:paraId="20B0DAEB" w14:textId="77777777" w:rsidR="00AC0DE3" w:rsidRDefault="00000000">
    <w:pPr>
      <w:rPr>
        <w:rFonts w:ascii="Inter" w:eastAsia="Inter" w:hAnsi="Inter" w:cs="Inter"/>
        <w:color w:val="666666"/>
        <w:sz w:val="16"/>
        <w:szCs w:val="16"/>
      </w:rPr>
    </w:pPr>
    <w:r>
      <w:rPr>
        <w:noProof/>
      </w:rPr>
      <w:pict w14:anchorId="2B747492">
        <v:rect id="_x0000_i1025" alt="" style="width:451.3pt;height:.05pt;mso-width-percent:0;mso-height-percent:0;mso-width-percent:0;mso-height-percent:0" o:hralign="center" o:hrstd="t" o:hr="t" fillcolor="#a0a0a0" stroked="f"/>
      </w:pict>
    </w:r>
  </w:p>
  <w:p w14:paraId="3BCB222B" w14:textId="77777777" w:rsidR="00AC0DE3" w:rsidRDefault="00AC0DE3">
    <w:pPr>
      <w:rPr>
        <w:rFonts w:ascii="Inter" w:eastAsia="Inter" w:hAnsi="Inter" w:cs="Inter"/>
        <w:color w:val="666666"/>
        <w:sz w:val="12"/>
        <w:szCs w:val="12"/>
      </w:rPr>
    </w:pPr>
  </w:p>
  <w:p w14:paraId="7AEA9952" w14:textId="77777777" w:rsidR="00AC0DE3" w:rsidRDefault="00000000">
    <w:pPr>
      <w:rPr>
        <w:rFonts w:ascii="Inter Medium" w:eastAsia="Inter Medium" w:hAnsi="Inter Medium" w:cs="Inter Medium"/>
        <w:color w:val="434343"/>
        <w:sz w:val="16"/>
        <w:szCs w:val="16"/>
      </w:rPr>
    </w:pPr>
    <w:proofErr w:type="spellStart"/>
    <w:r>
      <w:rPr>
        <w:rFonts w:ascii="Inter Medium" w:eastAsia="Inter Medium" w:hAnsi="Inter Medium" w:cs="Inter Medium"/>
        <w:color w:val="434343"/>
        <w:sz w:val="16"/>
        <w:szCs w:val="16"/>
      </w:rPr>
      <w:t>Apie</w:t>
    </w:r>
    <w:proofErr w:type="spellEnd"/>
    <w:r>
      <w:rPr>
        <w:rFonts w:ascii="Inter Medium" w:eastAsia="Inter Medium" w:hAnsi="Inter Medium" w:cs="Inter Medium"/>
        <w:color w:val="434343"/>
        <w:sz w:val="16"/>
        <w:szCs w:val="16"/>
      </w:rPr>
      <w:t xml:space="preserve"> „</w:t>
    </w:r>
    <w:proofErr w:type="gramStart"/>
    <w:r>
      <w:rPr>
        <w:rFonts w:ascii="Inter Medium" w:eastAsia="Inter Medium" w:hAnsi="Inter Medium" w:cs="Inter Medium"/>
        <w:color w:val="434343"/>
        <w:sz w:val="16"/>
        <w:szCs w:val="16"/>
      </w:rPr>
      <w:t>Mintos“</w:t>
    </w:r>
    <w:proofErr w:type="gramEnd"/>
    <w:r>
      <w:rPr>
        <w:rFonts w:ascii="Inter Medium" w:eastAsia="Inter Medium" w:hAnsi="Inter Medium" w:cs="Inter Medium"/>
        <w:color w:val="434343"/>
        <w:sz w:val="16"/>
        <w:szCs w:val="16"/>
      </w:rPr>
      <w:t>:</w:t>
    </w:r>
  </w:p>
  <w:p w14:paraId="1508C67E" w14:textId="77777777" w:rsidR="00AC0DE3" w:rsidRDefault="00AC0DE3">
    <w:pPr>
      <w:rPr>
        <w:rFonts w:ascii="Inter" w:eastAsia="Inter" w:hAnsi="Inter" w:cs="Inter"/>
        <w:b/>
        <w:bCs/>
        <w:color w:val="434343"/>
        <w:sz w:val="12"/>
        <w:szCs w:val="12"/>
      </w:rPr>
    </w:pPr>
  </w:p>
  <w:p w14:paraId="0CB3923D" w14:textId="77777777" w:rsidR="00AC0DE3" w:rsidRDefault="00000000">
    <w:pPr>
      <w:rPr>
        <w:rFonts w:ascii="Inter" w:eastAsia="Inter" w:hAnsi="Inter" w:cs="Inter"/>
        <w:color w:val="666666"/>
        <w:sz w:val="16"/>
        <w:szCs w:val="16"/>
      </w:rPr>
    </w:pPr>
    <w:r>
      <w:rPr>
        <w:rFonts w:ascii="Inter" w:eastAsia="Inter" w:hAnsi="Inter" w:cs="Inter"/>
        <w:color w:val="666666"/>
        <w:sz w:val="16"/>
        <w:szCs w:val="16"/>
      </w:rPr>
      <w:t>„</w:t>
    </w:r>
    <w:proofErr w:type="gramStart"/>
    <w:r>
      <w:rPr>
        <w:rFonts w:ascii="Inter" w:eastAsia="Inter" w:hAnsi="Inter" w:cs="Inter"/>
        <w:color w:val="666666"/>
        <w:sz w:val="16"/>
        <w:szCs w:val="16"/>
      </w:rPr>
      <w:t xml:space="preserve">Mintos“ </w:t>
    </w:r>
    <w:proofErr w:type="spellStart"/>
    <w:r>
      <w:rPr>
        <w:rFonts w:ascii="Inter" w:eastAsia="Inter" w:hAnsi="Inter" w:cs="Inter"/>
        <w:color w:val="666666"/>
        <w:sz w:val="16"/>
        <w:szCs w:val="16"/>
      </w:rPr>
      <w:t>yra</w:t>
    </w:r>
    <w:proofErr w:type="spellEnd"/>
    <w:proofErr w:type="gramEnd"/>
    <w:r>
      <w:rPr>
        <w:rFonts w:ascii="Inter" w:eastAsia="Inter" w:hAnsi="Inter" w:cs="Inter"/>
        <w:color w:val="666666"/>
        <w:sz w:val="16"/>
        <w:szCs w:val="16"/>
      </w:rPr>
      <w:t xml:space="preserve"> 2015 </w:t>
    </w:r>
    <w:proofErr w:type="spellStart"/>
    <w:r>
      <w:rPr>
        <w:rFonts w:ascii="Inter" w:eastAsia="Inter" w:hAnsi="Inter" w:cs="Inter"/>
        <w:color w:val="666666"/>
        <w:sz w:val="16"/>
        <w:szCs w:val="16"/>
      </w:rPr>
      <w:t>metais</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įkurta</w:t>
    </w:r>
    <w:proofErr w:type="spellEnd"/>
    <w:r>
      <w:rPr>
        <w:rFonts w:ascii="Inter" w:eastAsia="Inter" w:hAnsi="Inter" w:cs="Inter"/>
        <w:color w:val="666666"/>
        <w:sz w:val="16"/>
        <w:szCs w:val="16"/>
      </w:rPr>
      <w:t xml:space="preserve"> Europos </w:t>
    </w:r>
    <w:proofErr w:type="spellStart"/>
    <w:r>
      <w:rPr>
        <w:rFonts w:ascii="Inter" w:eastAsia="Inter" w:hAnsi="Inter" w:cs="Inter"/>
        <w:color w:val="666666"/>
        <w:sz w:val="16"/>
        <w:szCs w:val="16"/>
      </w:rPr>
      <w:t>diversifikuotų</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investicijų</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investavimo</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platforma</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suteikianti</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privatiems</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investuotojams</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galimybę</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ilgainiui</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kaupti</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turtą</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Vienoje</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vietoje</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siūlydama</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skirtingas</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turto</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klases</w:t>
    </w:r>
    <w:proofErr w:type="spellEnd"/>
    <w:r>
      <w:rPr>
        <w:rFonts w:ascii="Inter" w:eastAsia="Inter" w:hAnsi="Inter" w:cs="Inter"/>
        <w:color w:val="666666"/>
        <w:sz w:val="16"/>
        <w:szCs w:val="16"/>
      </w:rPr>
      <w:t xml:space="preserve"> – </w:t>
    </w:r>
    <w:proofErr w:type="spellStart"/>
    <w:r>
      <w:rPr>
        <w:rFonts w:ascii="Inter" w:eastAsia="Inter" w:hAnsi="Inter" w:cs="Inter"/>
        <w:color w:val="666666"/>
        <w:sz w:val="16"/>
        <w:szCs w:val="16"/>
      </w:rPr>
      <w:t>paskolas</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obligacijas</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nekilnojamąjį</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turtą</w:t>
    </w:r>
    <w:proofErr w:type="spellEnd"/>
    <w:r>
      <w:rPr>
        <w:rFonts w:ascii="Inter" w:eastAsia="Inter" w:hAnsi="Inter" w:cs="Inter"/>
        <w:color w:val="666666"/>
        <w:sz w:val="16"/>
        <w:szCs w:val="16"/>
      </w:rPr>
      <w:t xml:space="preserve">, ETF, </w:t>
    </w:r>
    <w:proofErr w:type="spellStart"/>
    <w:r>
      <w:rPr>
        <w:rFonts w:ascii="Inter" w:eastAsia="Inter" w:hAnsi="Inter" w:cs="Inter"/>
        <w:color w:val="666666"/>
        <w:sz w:val="16"/>
        <w:szCs w:val="16"/>
      </w:rPr>
      <w:t>kripto</w:t>
    </w:r>
    <w:proofErr w:type="spellEnd"/>
    <w:r>
      <w:rPr>
        <w:rFonts w:ascii="Inter" w:eastAsia="Inter" w:hAnsi="Inter" w:cs="Inter"/>
        <w:color w:val="666666"/>
        <w:sz w:val="16"/>
        <w:szCs w:val="16"/>
      </w:rPr>
      <w:t xml:space="preserve"> ETP </w:t>
    </w:r>
    <w:proofErr w:type="spellStart"/>
    <w:r>
      <w:rPr>
        <w:rFonts w:ascii="Inter" w:eastAsia="Inter" w:hAnsi="Inter" w:cs="Inter"/>
        <w:color w:val="666666"/>
        <w:sz w:val="16"/>
        <w:szCs w:val="16"/>
      </w:rPr>
      <w:t>ir</w:t>
    </w:r>
    <w:proofErr w:type="spellEnd"/>
    <w:r>
      <w:rPr>
        <w:rFonts w:ascii="Inter" w:eastAsia="Inter" w:hAnsi="Inter" w:cs="Inter"/>
        <w:color w:val="666666"/>
        <w:sz w:val="16"/>
        <w:szCs w:val="16"/>
      </w:rPr>
      <w:t xml:space="preserve"> „Smart </w:t>
    </w:r>
    <w:proofErr w:type="gramStart"/>
    <w:r>
      <w:rPr>
        <w:rFonts w:ascii="Inter" w:eastAsia="Inter" w:hAnsi="Inter" w:cs="Inter"/>
        <w:color w:val="666666"/>
        <w:sz w:val="16"/>
        <w:szCs w:val="16"/>
      </w:rPr>
      <w:t xml:space="preserve">Cash“ </w:t>
    </w:r>
    <w:proofErr w:type="spellStart"/>
    <w:r>
      <w:rPr>
        <w:rFonts w:ascii="Inter" w:eastAsia="Inter" w:hAnsi="Inter" w:cs="Inter"/>
        <w:color w:val="666666"/>
        <w:sz w:val="16"/>
        <w:szCs w:val="16"/>
      </w:rPr>
      <w:t>sprendimą</w:t>
    </w:r>
    <w:proofErr w:type="spellEnd"/>
    <w:proofErr w:type="gramEnd"/>
    <w:r>
      <w:rPr>
        <w:rFonts w:ascii="Inter" w:eastAsia="Inter" w:hAnsi="Inter" w:cs="Inter"/>
        <w:color w:val="666666"/>
        <w:sz w:val="16"/>
        <w:szCs w:val="16"/>
      </w:rPr>
      <w:t xml:space="preserve"> – „</w:t>
    </w:r>
    <w:proofErr w:type="gramStart"/>
    <w:r>
      <w:rPr>
        <w:rFonts w:ascii="Inter" w:eastAsia="Inter" w:hAnsi="Inter" w:cs="Inter"/>
        <w:color w:val="666666"/>
        <w:sz w:val="16"/>
        <w:szCs w:val="16"/>
      </w:rPr>
      <w:t xml:space="preserve">Mintos“ </w:t>
    </w:r>
    <w:proofErr w:type="spellStart"/>
    <w:r>
      <w:rPr>
        <w:rFonts w:ascii="Inter" w:eastAsia="Inter" w:hAnsi="Inter" w:cs="Inter"/>
        <w:color w:val="666666"/>
        <w:sz w:val="16"/>
        <w:szCs w:val="16"/>
      </w:rPr>
      <w:t>investuotojams</w:t>
    </w:r>
    <w:proofErr w:type="spellEnd"/>
    <w:proofErr w:type="gram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suteikia</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platų</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sprendimą</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portfelių</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diversifikavimui</w:t>
    </w:r>
    <w:proofErr w:type="spellEnd"/>
    <w:r>
      <w:rPr>
        <w:rFonts w:ascii="Inter" w:eastAsia="Inter" w:hAnsi="Inter" w:cs="Inter"/>
        <w:color w:val="666666"/>
        <w:sz w:val="16"/>
        <w:szCs w:val="16"/>
      </w:rPr>
      <w:t>. „</w:t>
    </w:r>
    <w:proofErr w:type="gramStart"/>
    <w:r>
      <w:rPr>
        <w:rFonts w:ascii="Inter" w:eastAsia="Inter" w:hAnsi="Inter" w:cs="Inter"/>
        <w:color w:val="666666"/>
        <w:sz w:val="16"/>
        <w:szCs w:val="16"/>
      </w:rPr>
      <w:t xml:space="preserve">Mintos“ </w:t>
    </w:r>
    <w:proofErr w:type="spellStart"/>
    <w:r>
      <w:rPr>
        <w:rFonts w:ascii="Inter" w:eastAsia="Inter" w:hAnsi="Inter" w:cs="Inter"/>
        <w:color w:val="666666"/>
        <w:sz w:val="16"/>
        <w:szCs w:val="16"/>
      </w:rPr>
      <w:t>valdo</w:t>
    </w:r>
    <w:proofErr w:type="spellEnd"/>
    <w:proofErr w:type="gram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daugiau</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nei</w:t>
    </w:r>
    <w:proofErr w:type="spellEnd"/>
    <w:r>
      <w:rPr>
        <w:rFonts w:ascii="Inter" w:eastAsia="Inter" w:hAnsi="Inter" w:cs="Inter"/>
        <w:color w:val="666666"/>
        <w:sz w:val="16"/>
        <w:szCs w:val="16"/>
      </w:rPr>
      <w:t xml:space="preserve"> 800 </w:t>
    </w:r>
    <w:proofErr w:type="spellStart"/>
    <w:r>
      <w:rPr>
        <w:rFonts w:ascii="Inter" w:eastAsia="Inter" w:hAnsi="Inter" w:cs="Inter"/>
        <w:color w:val="666666"/>
        <w:sz w:val="16"/>
        <w:szCs w:val="16"/>
      </w:rPr>
      <w:t>mln</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eurų</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turto</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ir</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ja</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pasitiki</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beveik</w:t>
    </w:r>
    <w:proofErr w:type="spellEnd"/>
    <w:r>
      <w:rPr>
        <w:rFonts w:ascii="Inter" w:eastAsia="Inter" w:hAnsi="Inter" w:cs="Inter"/>
        <w:color w:val="666666"/>
        <w:sz w:val="16"/>
        <w:szCs w:val="16"/>
      </w:rPr>
      <w:t xml:space="preserve"> 700 </w:t>
    </w:r>
    <w:proofErr w:type="spellStart"/>
    <w:r>
      <w:rPr>
        <w:rFonts w:ascii="Inter" w:eastAsia="Inter" w:hAnsi="Inter" w:cs="Inter"/>
        <w:color w:val="666666"/>
        <w:sz w:val="16"/>
        <w:szCs w:val="16"/>
      </w:rPr>
      <w:t>tūkst</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registruotų</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naudotojų</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visoje</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Europoje</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Bendrovė</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turi</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investicinės</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įmonės</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licenciją</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pagal</w:t>
    </w:r>
    <w:proofErr w:type="spellEnd"/>
    <w:r>
      <w:rPr>
        <w:rFonts w:ascii="Inter" w:eastAsia="Inter" w:hAnsi="Inter" w:cs="Inter"/>
        <w:color w:val="666666"/>
        <w:sz w:val="16"/>
        <w:szCs w:val="16"/>
      </w:rPr>
      <w:t xml:space="preserve"> MiFID II </w:t>
    </w:r>
    <w:proofErr w:type="spellStart"/>
    <w:r>
      <w:rPr>
        <w:rFonts w:ascii="Inter" w:eastAsia="Inter" w:hAnsi="Inter" w:cs="Inter"/>
        <w:color w:val="666666"/>
        <w:sz w:val="16"/>
        <w:szCs w:val="16"/>
      </w:rPr>
      <w:t>reglamentavimą</w:t>
    </w:r>
    <w:proofErr w:type="spellEnd"/>
    <w:r>
      <w:rPr>
        <w:rFonts w:ascii="Inter" w:eastAsia="Inter" w:hAnsi="Inter" w:cs="Inter"/>
        <w:color w:val="666666"/>
        <w:sz w:val="16"/>
        <w:szCs w:val="16"/>
      </w:rPr>
      <w:t xml:space="preserve">, o </w:t>
    </w:r>
    <w:proofErr w:type="spellStart"/>
    <w:r>
      <w:rPr>
        <w:rFonts w:ascii="Inter" w:eastAsia="Inter" w:hAnsi="Inter" w:cs="Inter"/>
        <w:color w:val="666666"/>
        <w:sz w:val="16"/>
        <w:szCs w:val="16"/>
      </w:rPr>
      <w:t>jos</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biuruose</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Rygoje</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ir</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Berlyne</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dirba</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daugiau</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nei</w:t>
    </w:r>
    <w:proofErr w:type="spellEnd"/>
    <w:r>
      <w:rPr>
        <w:rFonts w:ascii="Inter" w:eastAsia="Inter" w:hAnsi="Inter" w:cs="Inter"/>
        <w:color w:val="666666"/>
        <w:sz w:val="16"/>
        <w:szCs w:val="16"/>
      </w:rPr>
      <w:t xml:space="preserve"> 200 </w:t>
    </w:r>
    <w:proofErr w:type="spellStart"/>
    <w:r>
      <w:rPr>
        <w:rFonts w:ascii="Inter" w:eastAsia="Inter" w:hAnsi="Inter" w:cs="Inter"/>
        <w:color w:val="666666"/>
        <w:sz w:val="16"/>
        <w:szCs w:val="16"/>
      </w:rPr>
      <w:t>žmonių</w:t>
    </w:r>
    <w:proofErr w:type="spellEnd"/>
    <w:r>
      <w:rPr>
        <w:rFonts w:ascii="Inter" w:eastAsia="Inter" w:hAnsi="Inter" w:cs="Inter"/>
        <w:color w:val="666666"/>
        <w:sz w:val="16"/>
        <w:szCs w:val="16"/>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49F8E3" w14:textId="77777777" w:rsidR="001A78EE" w:rsidRDefault="001A78EE">
      <w:pPr>
        <w:spacing w:line="240" w:lineRule="auto"/>
      </w:pPr>
      <w:r>
        <w:separator/>
      </w:r>
    </w:p>
  </w:footnote>
  <w:footnote w:type="continuationSeparator" w:id="0">
    <w:p w14:paraId="45BEB666" w14:textId="77777777" w:rsidR="001A78EE" w:rsidRDefault="001A78E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E59BED" w14:textId="77777777" w:rsidR="00AC0DE3" w:rsidRDefault="00AC0DE3"/>
  <w:tbl>
    <w:tblPr>
      <w:tblStyle w:val="a"/>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8"/>
      <w:gridCol w:w="3009"/>
      <w:gridCol w:w="3009"/>
    </w:tblGrid>
    <w:tr w:rsidR="00AC0DE3" w14:paraId="0868CF42" w14:textId="77777777">
      <w:trPr>
        <w:trHeight w:val="526"/>
      </w:trPr>
      <w:tc>
        <w:tcPr>
          <w:tcW w:w="3008" w:type="dxa"/>
          <w:tcBorders>
            <w:top w:val="single" w:sz="8" w:space="0" w:color="FFFFFF"/>
            <w:left w:val="single" w:sz="8" w:space="0" w:color="FFFFFF"/>
            <w:bottom w:val="single" w:sz="8" w:space="0" w:color="FFFFFF"/>
            <w:right w:val="single" w:sz="8" w:space="0" w:color="FFFFFF"/>
          </w:tcBorders>
          <w:tcMar>
            <w:top w:w="0" w:type="dxa"/>
            <w:left w:w="0" w:type="dxa"/>
            <w:bottom w:w="0" w:type="dxa"/>
            <w:right w:w="0" w:type="dxa"/>
          </w:tcMar>
        </w:tcPr>
        <w:p w14:paraId="3B9B9662" w14:textId="77777777" w:rsidR="00AC0DE3" w:rsidRDefault="00000000">
          <w:pPr>
            <w:widowControl w:val="0"/>
            <w:spacing w:line="240" w:lineRule="auto"/>
          </w:pPr>
          <w:r>
            <w:rPr>
              <w:noProof/>
            </w:rPr>
            <w:drawing>
              <wp:inline distT="114300" distB="114300" distL="114300" distR="114300" wp14:anchorId="6BD35B0E" wp14:editId="26590E84">
                <wp:extent cx="1076325" cy="27917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76325" cy="279175"/>
                        </a:xfrm>
                        <a:prstGeom prst="rect">
                          <a:avLst/>
                        </a:prstGeom>
                        <a:ln/>
                      </pic:spPr>
                    </pic:pic>
                  </a:graphicData>
                </a:graphic>
              </wp:inline>
            </w:drawing>
          </w:r>
        </w:p>
      </w:tc>
      <w:tc>
        <w:tcPr>
          <w:tcW w:w="3009" w:type="dxa"/>
          <w:tcBorders>
            <w:top w:val="single" w:sz="8" w:space="0" w:color="FFFFFF"/>
            <w:left w:val="single" w:sz="8" w:space="0" w:color="FFFFFF"/>
            <w:bottom w:val="single" w:sz="8" w:space="0" w:color="FFFFFF"/>
            <w:right w:val="single" w:sz="8" w:space="0" w:color="FFFFFF"/>
          </w:tcBorders>
          <w:tcMar>
            <w:top w:w="0" w:type="dxa"/>
            <w:left w:w="0" w:type="dxa"/>
            <w:bottom w:w="0" w:type="dxa"/>
            <w:right w:w="0" w:type="dxa"/>
          </w:tcMar>
        </w:tcPr>
        <w:p w14:paraId="5AE50BC9" w14:textId="77777777" w:rsidR="00AC0DE3" w:rsidRDefault="00AC0DE3">
          <w:pPr>
            <w:jc w:val="right"/>
          </w:pPr>
        </w:p>
      </w:tc>
      <w:tc>
        <w:tcPr>
          <w:tcW w:w="3009" w:type="dxa"/>
          <w:tcBorders>
            <w:top w:val="single" w:sz="8" w:space="0" w:color="FFFFFF"/>
            <w:left w:val="single" w:sz="8" w:space="0" w:color="FFFFFF"/>
            <w:bottom w:val="single" w:sz="8" w:space="0" w:color="FFFFFF"/>
            <w:right w:val="single" w:sz="8" w:space="0" w:color="FFFFFF"/>
          </w:tcBorders>
          <w:tcMar>
            <w:top w:w="0" w:type="dxa"/>
            <w:left w:w="0" w:type="dxa"/>
            <w:bottom w:w="0" w:type="dxa"/>
            <w:right w:w="0" w:type="dxa"/>
          </w:tcMar>
        </w:tcPr>
        <w:p w14:paraId="20020439" w14:textId="77777777" w:rsidR="00AC0DE3" w:rsidRDefault="00AC0DE3">
          <w:pPr>
            <w:jc w:val="right"/>
          </w:pPr>
        </w:p>
      </w:tc>
    </w:tr>
  </w:tbl>
  <w:p w14:paraId="37E3D492" w14:textId="77777777" w:rsidR="00AC0DE3" w:rsidRDefault="00AC0DE3">
    <w:pPr>
      <w:widowControl w:val="0"/>
      <w:spacing w:line="240" w:lineRule="auto"/>
    </w:pPr>
  </w:p>
  <w:p w14:paraId="3A5EA45B" w14:textId="77777777" w:rsidR="00AC0DE3" w:rsidRDefault="00AC0DE3">
    <w:pPr>
      <w:widowControl w:val="0"/>
      <w:spacing w:line="240" w:lineRule="auto"/>
    </w:pPr>
  </w:p>
  <w:p w14:paraId="5BD3FD31" w14:textId="77777777" w:rsidR="00AC0DE3" w:rsidRDefault="00AC0DE3">
    <w:pPr>
      <w:widowControl w:val="0"/>
      <w:spacing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6F9442" w14:textId="77777777" w:rsidR="00AC0DE3" w:rsidRDefault="00AC0DE3"/>
  <w:tbl>
    <w:tblPr>
      <w:tblStyle w:val="a0"/>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3"/>
      <w:gridCol w:w="4513"/>
    </w:tblGrid>
    <w:tr w:rsidR="00AC0DE3" w14:paraId="56FD703C" w14:textId="77777777">
      <w:tc>
        <w:tcPr>
          <w:tcW w:w="4513" w:type="dxa"/>
          <w:tcBorders>
            <w:top w:val="single" w:sz="8" w:space="0" w:color="FFFFFF"/>
            <w:left w:val="single" w:sz="8" w:space="0" w:color="FFFFFF"/>
            <w:bottom w:val="single" w:sz="8" w:space="0" w:color="FFFFFF"/>
            <w:right w:val="single" w:sz="8" w:space="0" w:color="FFFFFF"/>
          </w:tcBorders>
          <w:tcMar>
            <w:top w:w="0" w:type="dxa"/>
            <w:left w:w="0" w:type="dxa"/>
            <w:bottom w:w="0" w:type="dxa"/>
            <w:right w:w="0" w:type="dxa"/>
          </w:tcMar>
        </w:tcPr>
        <w:p w14:paraId="15977468" w14:textId="77777777" w:rsidR="00AC0DE3" w:rsidRDefault="00000000">
          <w:pPr>
            <w:widowControl w:val="0"/>
            <w:pBdr>
              <w:top w:val="nil"/>
              <w:left w:val="nil"/>
              <w:bottom w:val="nil"/>
              <w:right w:val="nil"/>
              <w:between w:val="nil"/>
            </w:pBdr>
            <w:spacing w:line="240" w:lineRule="auto"/>
          </w:pPr>
          <w:r>
            <w:rPr>
              <w:noProof/>
            </w:rPr>
            <w:drawing>
              <wp:inline distT="114300" distB="114300" distL="114300" distR="114300" wp14:anchorId="418E9D1E" wp14:editId="172E6676">
                <wp:extent cx="1076325" cy="279175"/>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76325" cy="279175"/>
                        </a:xfrm>
                        <a:prstGeom prst="rect">
                          <a:avLst/>
                        </a:prstGeom>
                        <a:ln/>
                      </pic:spPr>
                    </pic:pic>
                  </a:graphicData>
                </a:graphic>
              </wp:inline>
            </w:drawing>
          </w:r>
        </w:p>
      </w:tc>
      <w:tc>
        <w:tcPr>
          <w:tcW w:w="4513" w:type="dxa"/>
          <w:tcBorders>
            <w:top w:val="single" w:sz="8" w:space="0" w:color="FFFFFF"/>
            <w:left w:val="single" w:sz="8" w:space="0" w:color="FFFFFF"/>
            <w:bottom w:val="single" w:sz="8" w:space="0" w:color="FFFFFF"/>
            <w:right w:val="single" w:sz="8" w:space="0" w:color="FFFFFF"/>
          </w:tcBorders>
          <w:tcMar>
            <w:top w:w="0" w:type="dxa"/>
            <w:left w:w="0" w:type="dxa"/>
            <w:bottom w:w="0" w:type="dxa"/>
            <w:right w:w="0" w:type="dxa"/>
          </w:tcMar>
        </w:tcPr>
        <w:p w14:paraId="6E5977BF" w14:textId="77777777" w:rsidR="00AC0DE3" w:rsidRDefault="00E06080">
          <w:pPr>
            <w:jc w:val="right"/>
            <w:rPr>
              <w:rFonts w:ascii="Inter" w:eastAsia="Inter" w:hAnsi="Inter" w:cs="Inter"/>
              <w:color w:val="666666"/>
              <w:sz w:val="16"/>
              <w:szCs w:val="16"/>
            </w:rPr>
          </w:pPr>
          <w:proofErr w:type="spellStart"/>
          <w:r>
            <w:rPr>
              <w:rFonts w:ascii="Inter" w:eastAsia="Inter" w:hAnsi="Inter" w:cs="Inter"/>
              <w:color w:val="666666"/>
              <w:sz w:val="16"/>
              <w:szCs w:val="16"/>
            </w:rPr>
            <w:t>Daugiau</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informacijos</w:t>
          </w:r>
          <w:proofErr w:type="spellEnd"/>
        </w:p>
        <w:p w14:paraId="7953BC8A" w14:textId="77777777" w:rsidR="00AC0DE3" w:rsidRDefault="00AC0DE3">
          <w:pPr>
            <w:jc w:val="right"/>
            <w:rPr>
              <w:rFonts w:ascii="Inter" w:eastAsia="Inter" w:hAnsi="Inter" w:cs="Inter"/>
              <w:color w:val="666666"/>
              <w:sz w:val="16"/>
              <w:szCs w:val="16"/>
            </w:rPr>
          </w:pPr>
        </w:p>
        <w:p w14:paraId="1C74F88A" w14:textId="77777777" w:rsidR="00AC0DE3" w:rsidRDefault="00E06080">
          <w:pPr>
            <w:jc w:val="right"/>
            <w:rPr>
              <w:rFonts w:ascii="Inter" w:eastAsia="Inter" w:hAnsi="Inter" w:cs="Inter"/>
              <w:b/>
              <w:bCs/>
              <w:color w:val="434343"/>
              <w:sz w:val="16"/>
              <w:szCs w:val="16"/>
            </w:rPr>
          </w:pPr>
          <w:r>
            <w:rPr>
              <w:rFonts w:ascii="Inter" w:eastAsia="Inter" w:hAnsi="Inter" w:cs="Inter"/>
              <w:b/>
              <w:bCs/>
              <w:color w:val="434343"/>
              <w:sz w:val="16"/>
              <w:szCs w:val="16"/>
            </w:rPr>
            <w:t xml:space="preserve">Lukas </w:t>
          </w:r>
          <w:proofErr w:type="spellStart"/>
          <w:r>
            <w:rPr>
              <w:rFonts w:ascii="Inter" w:eastAsia="Inter" w:hAnsi="Inter" w:cs="Inter"/>
              <w:b/>
              <w:bCs/>
              <w:color w:val="434343"/>
              <w:sz w:val="16"/>
              <w:szCs w:val="16"/>
            </w:rPr>
            <w:t>Mikelaitis</w:t>
          </w:r>
          <w:proofErr w:type="spellEnd"/>
        </w:p>
        <w:p w14:paraId="4E6F8A18" w14:textId="77777777" w:rsidR="00AC0DE3" w:rsidRDefault="00E06080">
          <w:pPr>
            <w:jc w:val="right"/>
            <w:rPr>
              <w:rFonts w:ascii="Inter" w:eastAsia="Inter" w:hAnsi="Inter" w:cs="Inter"/>
              <w:color w:val="666666"/>
              <w:sz w:val="16"/>
              <w:szCs w:val="16"/>
            </w:rPr>
          </w:pPr>
          <w:proofErr w:type="spellStart"/>
          <w:proofErr w:type="gramStart"/>
          <w:r>
            <w:rPr>
              <w:rFonts w:ascii="Inter" w:eastAsia="Inter" w:hAnsi="Inter" w:cs="Inter"/>
              <w:color w:val="666666"/>
              <w:sz w:val="16"/>
              <w:szCs w:val="16"/>
            </w:rPr>
            <w:t>co:agency</w:t>
          </w:r>
          <w:proofErr w:type="spellEnd"/>
          <w:proofErr w:type="gramEnd"/>
        </w:p>
        <w:p w14:paraId="28118AE5" w14:textId="77777777" w:rsidR="00AC0DE3" w:rsidRDefault="00E06080">
          <w:pPr>
            <w:jc w:val="right"/>
            <w:rPr>
              <w:rFonts w:ascii="Inter" w:eastAsia="Inter" w:hAnsi="Inter" w:cs="Inter"/>
              <w:color w:val="666666"/>
              <w:sz w:val="16"/>
              <w:szCs w:val="16"/>
            </w:rPr>
          </w:pPr>
          <w:r>
            <w:rPr>
              <w:rFonts w:ascii="Inter" w:eastAsia="Inter" w:hAnsi="Inter" w:cs="Inter"/>
              <w:color w:val="666666"/>
              <w:sz w:val="16"/>
              <w:szCs w:val="16"/>
            </w:rPr>
            <w:t>+37061262326</w:t>
          </w:r>
        </w:p>
        <w:p w14:paraId="440A344E" w14:textId="77777777" w:rsidR="00AC0DE3" w:rsidRDefault="00E06080">
          <w:pPr>
            <w:jc w:val="right"/>
            <w:rPr>
              <w:rFonts w:ascii="Inter" w:eastAsia="Inter" w:hAnsi="Inter" w:cs="Inter"/>
              <w:color w:val="666666"/>
              <w:sz w:val="16"/>
              <w:szCs w:val="16"/>
            </w:rPr>
          </w:pPr>
          <w:r>
            <w:rPr>
              <w:rFonts w:ascii="Inter" w:eastAsia="Inter" w:hAnsi="Inter" w:cs="Inter"/>
              <w:color w:val="666666"/>
              <w:sz w:val="16"/>
              <w:szCs w:val="16"/>
            </w:rPr>
            <w:t>lukas@coagency.lt</w:t>
          </w:r>
        </w:p>
        <w:p w14:paraId="56856841" w14:textId="77777777" w:rsidR="00AC0DE3" w:rsidRDefault="00AC0DE3">
          <w:pPr>
            <w:jc w:val="right"/>
            <w:rPr>
              <w:rFonts w:ascii="Inter" w:eastAsia="Inter" w:hAnsi="Inter" w:cs="Inter"/>
              <w:b/>
              <w:bCs/>
              <w:color w:val="434343"/>
              <w:sz w:val="16"/>
              <w:szCs w:val="16"/>
            </w:rPr>
          </w:pPr>
        </w:p>
      </w:tc>
    </w:tr>
  </w:tbl>
  <w:p w14:paraId="53C799D8" w14:textId="77777777" w:rsidR="00AC0DE3" w:rsidRDefault="00AC0DE3"/>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0DE3"/>
    <w:rsid w:val="00124291"/>
    <w:rsid w:val="001A78EE"/>
    <w:rsid w:val="002D3819"/>
    <w:rsid w:val="003351A9"/>
    <w:rsid w:val="0037786A"/>
    <w:rsid w:val="003F0992"/>
    <w:rsid w:val="00AC0DE3"/>
    <w:rsid w:val="00CA2B82"/>
    <w:rsid w:val="00E06080"/>
  </w:rsids>
  <m:mathPr>
    <m:mathFont m:val="Cambria Math"/>
    <m:brkBin m:val="before"/>
    <m:brkBinSub m:val="--"/>
    <m:smallFrac m:val="0"/>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BEE262"/>
  <w15:docId w15:val="{24BD856B-6771-5043-A352-6016A9B0F2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E06080"/>
    <w:pPr>
      <w:tabs>
        <w:tab w:val="center" w:pos="4513"/>
        <w:tab w:val="right" w:pos="9026"/>
      </w:tabs>
      <w:spacing w:line="240" w:lineRule="auto"/>
    </w:pPr>
  </w:style>
  <w:style w:type="character" w:customStyle="1" w:styleId="HeaderChar">
    <w:name w:val="Header Char"/>
    <w:basedOn w:val="DefaultParagraphFont"/>
    <w:link w:val="Header"/>
    <w:uiPriority w:val="99"/>
    <w:rsid w:val="00E06080"/>
  </w:style>
  <w:style w:type="paragraph" w:styleId="Footer">
    <w:name w:val="footer"/>
    <w:basedOn w:val="Normal"/>
    <w:link w:val="FooterChar"/>
    <w:uiPriority w:val="99"/>
    <w:unhideWhenUsed/>
    <w:rsid w:val="00E06080"/>
    <w:pPr>
      <w:tabs>
        <w:tab w:val="center" w:pos="4513"/>
        <w:tab w:val="right" w:pos="9026"/>
      </w:tabs>
      <w:spacing w:line="240" w:lineRule="auto"/>
    </w:pPr>
  </w:style>
  <w:style w:type="character" w:customStyle="1" w:styleId="FooterChar">
    <w:name w:val="Footer Char"/>
    <w:basedOn w:val="DefaultParagraphFont"/>
    <w:link w:val="Footer"/>
    <w:uiPriority w:val="99"/>
    <w:rsid w:val="00E060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84se0VVHOWtLSGeYi5GjsHRhFdg==">CgMxLjAaJwoBMBIiCiAIBCocCgtBQUFCOXF0SEV2bxAIGgtBQUFCOXF0SEV2byLnAgoLQUFBQjlxdEhFdm8SvQIKC0FBQUI5cXRIRXZvEgtBQUFCOXF0SEV2bxojCgl0ZXh0L2h0bWwSFlN1Z2dlc3QgdXNpbmcgdGhpcyBvbmUiJAoKdGV4dC9wbGFpbhIWU3VnZ2VzdCB1c2luZyB0aGlzIG9uZSpJChBMdWthcyBNaWtlbGFpdGlzGjUvL3NzbC5nc3RhdGljLmNvbS9kb2NzL2NvbW1vbi9ibHVlX3NpbGhvdWV0dGU5Ni0wLnBuZzDspfmj8DM47KX5o/AzcksKEEx1a2FzIE1pa2VsYWl0aXMaNwo1Ly9zc2wuZ3N0YXRpYy5jb20vZG9jcy9jb21tb24vYmx1ZV9zaWxob3VldHRlOTYtMC5wbmd4AIgBAZoBBggAEAAYAKoBGBIWU3VnZ2VzdCB1c2luZyB0aGlzIG9uZbABALgBAcgBABjspfmj8DMg7KX5o/AzMABCCGtpeC5jbXQwOAByITFZMjZESGd6cWx2dlF2N3h0clg5eWljNG5CS21ia3lsV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951</TotalTime>
  <Pages>2</Pages>
  <Words>2745</Words>
  <Characters>1565</Characters>
  <Application>Microsoft Office Word</Application>
  <DocSecurity>0</DocSecurity>
  <Lines>13</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Barbora</dc:creator>
  <cp:lastModifiedBy>Gravitas Partners</cp:lastModifiedBy>
  <cp:revision>3</cp:revision>
  <dcterms:created xsi:type="dcterms:W3CDTF">2026-06-29T14:36:00Z</dcterms:created>
  <dcterms:modified xsi:type="dcterms:W3CDTF">2026-06-30T06:27:00Z</dcterms:modified>
</cp:coreProperties>
</file>