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14C34" w14:textId="77777777" w:rsidR="00E11D41" w:rsidRDefault="00E11D41">
      <w:pPr>
        <w:spacing w:line="276" w:lineRule="auto"/>
        <w:jc w:val="both"/>
        <w:rPr>
          <w:rFonts w:ascii="Cambria" w:hAnsi="Cambria" w:cs="Cambria"/>
          <w:color w:val="000000"/>
          <w:sz w:val="24"/>
          <w:szCs w:val="24"/>
        </w:rPr>
      </w:pPr>
    </w:p>
    <w:p w14:paraId="25F14C35" w14:textId="631FA73D" w:rsidR="00E11D41" w:rsidRDefault="00E2232E">
      <w:pPr>
        <w:spacing w:line="276" w:lineRule="auto"/>
        <w:jc w:val="both"/>
        <w:rPr>
          <w:rFonts w:ascii="Cambria" w:hAnsi="Cambria" w:cs="Cambria"/>
          <w:color w:val="000000"/>
          <w:sz w:val="24"/>
          <w:szCs w:val="24"/>
        </w:rPr>
      </w:pPr>
      <w:r>
        <w:rPr>
          <w:rFonts w:ascii="Cambria" w:hAnsi="Cambria" w:cs="Cambria"/>
          <w:color w:val="000000"/>
          <w:sz w:val="24"/>
          <w:szCs w:val="24"/>
        </w:rPr>
        <w:t>PRANEŠIMAS ŽINIASKLAIDAI, 202</w:t>
      </w:r>
      <w:r w:rsidRPr="00643D5F">
        <w:rPr>
          <w:rFonts w:ascii="Cambria" w:hAnsi="Cambria" w:cs="Cambria"/>
          <w:color w:val="000000"/>
          <w:sz w:val="24"/>
          <w:szCs w:val="24"/>
          <w:lang w:val="fi-FI"/>
        </w:rPr>
        <w:t>6</w:t>
      </w:r>
      <w:r>
        <w:rPr>
          <w:rFonts w:ascii="Cambria" w:hAnsi="Cambria" w:cs="Cambria"/>
          <w:color w:val="000000"/>
          <w:sz w:val="24"/>
          <w:szCs w:val="24"/>
        </w:rPr>
        <w:t xml:space="preserve"> m. liepos </w:t>
      </w:r>
      <w:r w:rsidR="00643D5F">
        <w:rPr>
          <w:rFonts w:ascii="Cambria" w:hAnsi="Cambria" w:cs="Cambria"/>
          <w:color w:val="000000"/>
          <w:sz w:val="24"/>
          <w:szCs w:val="24"/>
        </w:rPr>
        <w:t>16</w:t>
      </w:r>
      <w:r>
        <w:rPr>
          <w:rFonts w:ascii="Cambria" w:hAnsi="Cambria" w:cs="Cambria"/>
          <w:color w:val="000000"/>
          <w:sz w:val="24"/>
          <w:szCs w:val="24"/>
        </w:rPr>
        <w:t xml:space="preserve"> d. </w:t>
      </w:r>
      <w:bookmarkStart w:id="0" w:name="_Hlk48116946"/>
    </w:p>
    <w:bookmarkEnd w:id="0"/>
    <w:p w14:paraId="3F3256BA" w14:textId="77777777" w:rsidR="00CC7C28" w:rsidRPr="00CC7C28" w:rsidRDefault="00CC7C28" w:rsidP="00CC7C28">
      <w:pPr>
        <w:rPr>
          <w:rFonts w:ascii="Cambria" w:hAnsi="Cambria"/>
          <w:sz w:val="24"/>
          <w:szCs w:val="24"/>
        </w:rPr>
      </w:pPr>
      <w:r w:rsidRPr="00CC7C28">
        <w:rPr>
          <w:rFonts w:ascii="Cambria" w:hAnsi="Cambria"/>
          <w:b/>
          <w:sz w:val="24"/>
          <w:szCs w:val="24"/>
        </w:rPr>
        <w:t>Tyrimas: kas antras Lietuvos e. pirkėjas nori galimybės rinktis aplinkai draugiškesnį pristatymą</w:t>
      </w:r>
    </w:p>
    <w:p w14:paraId="77EDF6F7" w14:textId="77777777" w:rsidR="00CC7C28" w:rsidRPr="00CC7C28" w:rsidRDefault="00CC7C28" w:rsidP="00CC7C28">
      <w:pPr>
        <w:jc w:val="both"/>
        <w:rPr>
          <w:rFonts w:ascii="Cambria" w:hAnsi="Cambria"/>
          <w:sz w:val="24"/>
          <w:szCs w:val="24"/>
        </w:rPr>
      </w:pPr>
      <w:r w:rsidRPr="00CC7C28">
        <w:rPr>
          <w:rFonts w:ascii="Cambria" w:hAnsi="Cambria"/>
          <w:sz w:val="24"/>
          <w:szCs w:val="24"/>
        </w:rPr>
        <w:t>Naujausio tarptautinio „DPD“ tyrimo „E. barometras“ duomenimis, pusei (50 proc.) reguliariųjų Lietuvos interneto pirkėjų svarbu turėti galimybę rinktis aplinkai draugiškesnį pristatymo būdą. Palyginimui, tarp reguliariųjų Europos interneto pirkėjų taip mano 58 proc. respondentų.</w:t>
      </w:r>
    </w:p>
    <w:p w14:paraId="7F286839" w14:textId="4DA7D4DC" w:rsidR="00CC7C28" w:rsidRPr="00CC7C28" w:rsidRDefault="00CC7C28" w:rsidP="00CC7C28">
      <w:pPr>
        <w:jc w:val="both"/>
        <w:rPr>
          <w:rFonts w:ascii="Cambria" w:hAnsi="Cambria"/>
          <w:sz w:val="24"/>
          <w:szCs w:val="24"/>
        </w:rPr>
      </w:pPr>
      <w:r w:rsidRPr="00CC7C28">
        <w:rPr>
          <w:rFonts w:ascii="Cambria" w:hAnsi="Cambria"/>
          <w:sz w:val="24"/>
          <w:szCs w:val="24"/>
        </w:rPr>
        <w:t>Vis dėlto tyrimas atskleidžia aiškų atotrūkį tarp vartotojų lūkesčių ir realaus elgesio. Nors galimybė rinktis tvaresnį pristatymą pirkėjams svarbi, galutinį sprendimą dažniausiai vis dar lemia kaina, greitis ir patogumas. Tai rodo, kad tvarumas tampa vis svarbesne apsipirkimo internetu patirties dalimi, tačiau kasdieniu pasirinkimu jis taps tik tuomet, kai bus patogus, lengvai prieinamas ir nereikalaus papildomų pastangų iš vartotojo.</w:t>
      </w:r>
    </w:p>
    <w:p w14:paraId="4C3354B5" w14:textId="6669F1E0" w:rsidR="00CC7C28" w:rsidRPr="00CC7C28" w:rsidRDefault="00CC7C28" w:rsidP="00CC7C28">
      <w:pPr>
        <w:jc w:val="both"/>
        <w:rPr>
          <w:rFonts w:ascii="Cambria" w:hAnsi="Cambria"/>
          <w:sz w:val="24"/>
          <w:szCs w:val="24"/>
        </w:rPr>
      </w:pPr>
      <w:r w:rsidRPr="00CC7C28">
        <w:rPr>
          <w:rFonts w:ascii="Cambria" w:hAnsi="Cambria"/>
          <w:sz w:val="24"/>
          <w:szCs w:val="24"/>
        </w:rPr>
        <w:t xml:space="preserve">„Pusė pirkėjų nori žalesnio pristatymo galimybės, tačiau renkantis </w:t>
      </w:r>
      <w:r w:rsidR="00802B92">
        <w:rPr>
          <w:rFonts w:ascii="Cambria" w:hAnsi="Cambria"/>
          <w:sz w:val="24"/>
          <w:szCs w:val="24"/>
        </w:rPr>
        <w:t xml:space="preserve">sprendimą </w:t>
      </w:r>
      <w:r w:rsidRPr="00CC7C28">
        <w:rPr>
          <w:rFonts w:ascii="Cambria" w:hAnsi="Cambria"/>
          <w:sz w:val="24"/>
          <w:szCs w:val="24"/>
        </w:rPr>
        <w:t>vis dar lemia kaina ir greitis. Tai rodo, kad tvarų pasirinkimą turime paversti patogiu ir savaime suprantamu, o ne papildoma priemoka vartotojui“, – sako „DPD Lietuva“ komunikacijos vadovas Tomas Vaišvila.</w:t>
      </w:r>
    </w:p>
    <w:p w14:paraId="68458349" w14:textId="77777777" w:rsidR="00CC7C28" w:rsidRPr="00CC7C28" w:rsidRDefault="00CC7C28" w:rsidP="00CC7C28">
      <w:pPr>
        <w:jc w:val="both"/>
        <w:rPr>
          <w:rFonts w:ascii="Cambria" w:hAnsi="Cambria"/>
          <w:sz w:val="24"/>
          <w:szCs w:val="24"/>
        </w:rPr>
      </w:pPr>
      <w:r w:rsidRPr="00CC7C28">
        <w:rPr>
          <w:rFonts w:ascii="Cambria" w:hAnsi="Cambria"/>
          <w:b/>
          <w:sz w:val="24"/>
          <w:szCs w:val="24"/>
        </w:rPr>
        <w:t>Svarbiausia – mažesnės emisijos ir efektyvesni maršrutai</w:t>
      </w:r>
    </w:p>
    <w:p w14:paraId="4DCA7810" w14:textId="77777777" w:rsidR="00CC7C28" w:rsidRPr="00CC7C28" w:rsidRDefault="00CC7C28" w:rsidP="00CC7C28">
      <w:pPr>
        <w:jc w:val="both"/>
        <w:rPr>
          <w:rFonts w:ascii="Cambria" w:hAnsi="Cambria"/>
          <w:sz w:val="24"/>
          <w:szCs w:val="24"/>
        </w:rPr>
      </w:pPr>
      <w:r w:rsidRPr="00CC7C28">
        <w:rPr>
          <w:rFonts w:ascii="Cambria" w:hAnsi="Cambria"/>
          <w:sz w:val="24"/>
          <w:szCs w:val="24"/>
        </w:rPr>
        <w:t>Tyrimas atskleidė, kad draugiškiausiais aplinkai pristatymo sprendimais interneto pirkėjai laiko siuntų pristatymą mažataršėmis transporto priemonėmis (49 proc.) ir efektyviai suplanuotus maršrutus, kai per vieną reisą pristatoma kuo daugiau siuntų (46 proc.). Vartotojams tokie sprendimai atrodo reikšmingesni už pavienes iniciatyvas, nes siejami su realiu poveikio aplinkai mažinimu.</w:t>
      </w:r>
    </w:p>
    <w:p w14:paraId="6B6CD0E8" w14:textId="77777777" w:rsidR="00CC7C28" w:rsidRPr="00CC7C28" w:rsidRDefault="00CC7C28" w:rsidP="00CC7C28">
      <w:pPr>
        <w:jc w:val="both"/>
        <w:rPr>
          <w:rFonts w:ascii="Cambria" w:hAnsi="Cambria"/>
          <w:sz w:val="24"/>
          <w:szCs w:val="24"/>
        </w:rPr>
      </w:pPr>
      <w:r w:rsidRPr="00CC7C28">
        <w:rPr>
          <w:rFonts w:ascii="Cambria" w:hAnsi="Cambria"/>
          <w:sz w:val="24"/>
          <w:szCs w:val="24"/>
        </w:rPr>
        <w:t>Pasak T. Vaišvilos, šie duomenys rodo, kad tvarumas logistikoje nėra vien transporto priemonių klausimas – ne mažiau svarbu, kaip planuojami maršrutai, valdomi siuntų srautai ir išnaudojami turimi resursai.</w:t>
      </w:r>
    </w:p>
    <w:p w14:paraId="48973EFB" w14:textId="0971093A" w:rsidR="00CC7C28" w:rsidRPr="00CC7C28" w:rsidRDefault="00CC7C28" w:rsidP="00CC7C28">
      <w:pPr>
        <w:jc w:val="both"/>
        <w:rPr>
          <w:rFonts w:ascii="Cambria" w:hAnsi="Cambria"/>
          <w:sz w:val="24"/>
          <w:szCs w:val="24"/>
        </w:rPr>
      </w:pPr>
      <w:r w:rsidRPr="00CC7C28">
        <w:rPr>
          <w:rFonts w:ascii="Cambria" w:hAnsi="Cambria"/>
          <w:sz w:val="24"/>
          <w:szCs w:val="24"/>
        </w:rPr>
        <w:t>„Tvarumas logistikoje prasideda ne tik nuo transporto priemonių, bet ir nuo efektyvaus planavimo. Kuo daugiau siuntų pristatoma vieno maršruto metu ir kuo racionaliau išnaudojami resursai, tuo mažesnis bendras poveikis aplinkai“, – pažymi jis.</w:t>
      </w:r>
    </w:p>
    <w:p w14:paraId="6D57EFD5" w14:textId="77777777" w:rsidR="00CC7C28" w:rsidRPr="00CC7C28" w:rsidRDefault="00CC7C28" w:rsidP="00CC7C28">
      <w:pPr>
        <w:jc w:val="both"/>
        <w:rPr>
          <w:rFonts w:ascii="Cambria" w:hAnsi="Cambria"/>
          <w:sz w:val="24"/>
          <w:szCs w:val="24"/>
        </w:rPr>
      </w:pPr>
      <w:r w:rsidRPr="00CC7C28">
        <w:rPr>
          <w:rFonts w:ascii="Cambria" w:hAnsi="Cambria"/>
          <w:b/>
          <w:sz w:val="24"/>
          <w:szCs w:val="24"/>
        </w:rPr>
        <w:t>Tvarios pakuotės tampa nauju lūkesčiu</w:t>
      </w:r>
    </w:p>
    <w:p w14:paraId="6198B79C" w14:textId="77777777" w:rsidR="00CC7C28" w:rsidRPr="00CC7C28" w:rsidRDefault="00CC7C28" w:rsidP="00CC7C28">
      <w:pPr>
        <w:jc w:val="both"/>
        <w:rPr>
          <w:rFonts w:ascii="Cambria" w:hAnsi="Cambria"/>
          <w:sz w:val="24"/>
          <w:szCs w:val="24"/>
        </w:rPr>
      </w:pPr>
      <w:r w:rsidRPr="00CC7C28">
        <w:rPr>
          <w:rFonts w:ascii="Cambria" w:hAnsi="Cambria"/>
          <w:sz w:val="24"/>
          <w:szCs w:val="24"/>
        </w:rPr>
        <w:t>Pirkėjų dėmesys neapsiriboja vien pristatymu – vis svarbesniu apsipirkimo internetu elementu tampa ir siuntos pakuotė. Daugiausia reguliariųjų interneto pirkėjų (56 proc.) tikisi, kad ji bus pritaikyta prekės dydžiui ir formai. Dar 42 proc. respondentų svarbu, kad pakuotę būtų galima panaudoti pakartotinai, 34 proc. tikisi natūraliai suyrančių pakavimo medžiagų, o 31 proc. norėtų mažesnio plastiko kiekio.</w:t>
      </w:r>
    </w:p>
    <w:p w14:paraId="3AC8D7FB" w14:textId="77777777" w:rsidR="00CC7C28" w:rsidRPr="00CC7C28" w:rsidRDefault="00CC7C28" w:rsidP="00CC7C28">
      <w:pPr>
        <w:jc w:val="both"/>
        <w:rPr>
          <w:rFonts w:ascii="Cambria" w:hAnsi="Cambria"/>
          <w:sz w:val="24"/>
          <w:szCs w:val="24"/>
        </w:rPr>
      </w:pPr>
      <w:r w:rsidRPr="00CC7C28">
        <w:rPr>
          <w:rFonts w:ascii="Cambria" w:hAnsi="Cambria"/>
          <w:sz w:val="24"/>
          <w:szCs w:val="24"/>
        </w:rPr>
        <w:lastRenderedPageBreak/>
        <w:t>Šie rezultatai rodo, kad pirkėjai tvarumą vertina kaip visos apsipirkimo patirties dalį – nuo užsakymo pateikimo iki siuntos pristatymo ir pakuotės panaudojimo po jos išpakavimo.</w:t>
      </w:r>
    </w:p>
    <w:p w14:paraId="461278C6" w14:textId="77777777" w:rsidR="00CC7C28" w:rsidRPr="00CC7C28" w:rsidRDefault="00CC7C28" w:rsidP="00CC7C28">
      <w:pPr>
        <w:jc w:val="both"/>
        <w:rPr>
          <w:rFonts w:ascii="Cambria" w:hAnsi="Cambria"/>
          <w:sz w:val="24"/>
          <w:szCs w:val="24"/>
        </w:rPr>
      </w:pPr>
      <w:r w:rsidRPr="00CC7C28">
        <w:rPr>
          <w:rFonts w:ascii="Cambria" w:hAnsi="Cambria"/>
          <w:sz w:val="24"/>
          <w:szCs w:val="24"/>
        </w:rPr>
        <w:t>„Pakuotė – paskutinis pirkėjo kontaktas su užsakymu, todėl jos sprendimai tokie pat svarbūs kaip pats pristatymas. Tinkamas pakuotės dydis ir galimybė ją panaudoti dar kartą mažina ir atliekų kiekį, ir siuntimo sąnaudas“, – teigia „DPD Lietuva“ komunikacijos vadovas.</w:t>
      </w:r>
    </w:p>
    <w:p w14:paraId="4DB00D6F" w14:textId="505FBD61" w:rsidR="00CC7C28" w:rsidRPr="00CC7C28" w:rsidRDefault="00CC7C28" w:rsidP="00CC7C28">
      <w:pPr>
        <w:jc w:val="both"/>
        <w:rPr>
          <w:rFonts w:ascii="Cambria" w:hAnsi="Cambria"/>
          <w:sz w:val="24"/>
          <w:szCs w:val="24"/>
        </w:rPr>
      </w:pPr>
      <w:r w:rsidRPr="00CC7C28">
        <w:rPr>
          <w:rFonts w:ascii="Cambria" w:hAnsi="Cambria"/>
          <w:i/>
          <w:color w:val="666666"/>
          <w:sz w:val="24"/>
          <w:szCs w:val="24"/>
        </w:rPr>
        <w:t>Įžvalgos pateiktos remiantis DPD</w:t>
      </w:r>
      <w:r w:rsidR="00643D5F">
        <w:rPr>
          <w:rFonts w:ascii="Cambria" w:hAnsi="Cambria"/>
          <w:i/>
          <w:color w:val="666666"/>
          <w:sz w:val="24"/>
          <w:szCs w:val="24"/>
        </w:rPr>
        <w:t xml:space="preserve"> </w:t>
      </w:r>
      <w:r w:rsidRPr="00CC7C28">
        <w:rPr>
          <w:rFonts w:ascii="Cambria" w:hAnsi="Cambria"/>
          <w:i/>
          <w:color w:val="666666"/>
          <w:sz w:val="24"/>
          <w:szCs w:val="24"/>
        </w:rPr>
        <w:t xml:space="preserve">group tyrimu „E. barometras 2025“, atliktu 22 Europos šalyse. Iš viso apklausti 30 697 el. pirkėjai, iš jų 1 005 – Lietuvoje. </w:t>
      </w:r>
      <w:r w:rsidR="00802B92">
        <w:rPr>
          <w:rFonts w:ascii="Cambria" w:hAnsi="Cambria"/>
          <w:i/>
          <w:color w:val="666666"/>
          <w:sz w:val="24"/>
          <w:szCs w:val="24"/>
        </w:rPr>
        <w:t>T</w:t>
      </w:r>
      <w:r w:rsidRPr="00CC7C28">
        <w:rPr>
          <w:rFonts w:ascii="Cambria" w:hAnsi="Cambria"/>
          <w:i/>
          <w:color w:val="666666"/>
          <w:sz w:val="24"/>
          <w:szCs w:val="24"/>
        </w:rPr>
        <w:t>yrimas vyko 2025 m. gegužės 13 – liepos 7 d. Žalio pristatymo ir pakuočių rodikliai apskaičiuoti reguliariųjų e. pirkėjų grupei.</w:t>
      </w:r>
    </w:p>
    <w:p w14:paraId="25F14C45" w14:textId="77777777" w:rsidR="00E11D41" w:rsidRDefault="00E2232E">
      <w:pPr>
        <w:jc w:val="both"/>
        <w:rPr>
          <w:rFonts w:ascii="Cambria" w:hAnsi="Cambria" w:cs="Cambria"/>
          <w:sz w:val="24"/>
          <w:szCs w:val="24"/>
        </w:rPr>
      </w:pPr>
      <w:r>
        <w:rPr>
          <w:rFonts w:ascii="Cambria" w:hAnsi="Cambria" w:cs="Cambria"/>
          <w:b/>
          <w:color w:val="000000"/>
          <w:sz w:val="24"/>
          <w:szCs w:val="24"/>
        </w:rPr>
        <w:t>Kontaktai žiniasklaidai:</w:t>
      </w:r>
    </w:p>
    <w:p w14:paraId="25F14C46" w14:textId="77777777" w:rsidR="00E11D41" w:rsidRDefault="00E2232E">
      <w:pPr>
        <w:spacing w:after="0" w:line="240" w:lineRule="auto"/>
        <w:jc w:val="both"/>
        <w:rPr>
          <w:rFonts w:ascii="Cambria" w:hAnsi="Cambria" w:cs="Cambria"/>
          <w:color w:val="000000"/>
          <w:sz w:val="24"/>
          <w:szCs w:val="24"/>
        </w:rPr>
      </w:pPr>
      <w:r>
        <w:rPr>
          <w:rFonts w:ascii="Cambria" w:hAnsi="Cambria" w:cs="Cambria"/>
          <w:b/>
          <w:color w:val="000000"/>
          <w:sz w:val="24"/>
          <w:szCs w:val="24"/>
        </w:rPr>
        <w:t>Tomas Vaišvila</w:t>
      </w:r>
    </w:p>
    <w:p w14:paraId="25F14C47" w14:textId="77777777" w:rsidR="00E11D41" w:rsidRDefault="00E2232E">
      <w:pPr>
        <w:spacing w:after="0" w:line="240" w:lineRule="auto"/>
        <w:jc w:val="both"/>
        <w:rPr>
          <w:rFonts w:ascii="Cambria" w:hAnsi="Cambria" w:cs="Cambria"/>
          <w:color w:val="000000"/>
          <w:sz w:val="24"/>
          <w:szCs w:val="24"/>
        </w:rPr>
      </w:pPr>
      <w:r>
        <w:rPr>
          <w:rFonts w:ascii="Cambria" w:hAnsi="Cambria" w:cs="Cambria"/>
          <w:color w:val="000000"/>
          <w:sz w:val="24"/>
          <w:szCs w:val="24"/>
        </w:rPr>
        <w:t>„DPD Lietuva“ komunikacijos vadovas</w:t>
      </w:r>
    </w:p>
    <w:p w14:paraId="25F14C48" w14:textId="62D9FB00" w:rsidR="00E11D41" w:rsidRDefault="00E2232E">
      <w:pPr>
        <w:spacing w:after="0" w:line="240" w:lineRule="auto"/>
        <w:jc w:val="both"/>
        <w:rPr>
          <w:rFonts w:ascii="Cambria" w:hAnsi="Cambria" w:cs="Cambria"/>
          <w:color w:val="000000"/>
          <w:sz w:val="24"/>
          <w:szCs w:val="24"/>
        </w:rPr>
      </w:pPr>
      <w:r>
        <w:rPr>
          <w:rFonts w:ascii="Cambria" w:hAnsi="Cambria" w:cs="Cambria"/>
          <w:color w:val="000000"/>
          <w:sz w:val="24"/>
          <w:szCs w:val="24"/>
        </w:rPr>
        <w:t>+370 686 38 553</w:t>
      </w:r>
    </w:p>
    <w:p w14:paraId="25F14C4A" w14:textId="5F7F1606" w:rsidR="00E11D41" w:rsidRDefault="00E2232E">
      <w:pPr>
        <w:spacing w:after="0" w:line="240" w:lineRule="auto"/>
        <w:jc w:val="both"/>
        <w:rPr>
          <w:rFonts w:ascii="Cambria" w:hAnsi="Cambria" w:cs="Cambria"/>
          <w:color w:val="000000"/>
          <w:sz w:val="24"/>
          <w:szCs w:val="24"/>
        </w:rPr>
      </w:pPr>
      <w:hyperlink r:id="rId7">
        <w:r>
          <w:rPr>
            <w:rStyle w:val="Hyperlink"/>
            <w:rFonts w:ascii="Cambria" w:hAnsi="Cambria" w:cs="Cambria"/>
            <w:sz w:val="24"/>
            <w:szCs w:val="24"/>
          </w:rPr>
          <w:t>tomas.vaisvila@dpd.lt</w:t>
        </w:r>
      </w:hyperlink>
    </w:p>
    <w:sectPr w:rsidR="00E11D41">
      <w:headerReference w:type="default" r:id="rId8"/>
      <w:pgSz w:w="11906" w:h="16838"/>
      <w:pgMar w:top="1440" w:right="1440" w:bottom="1440" w:left="1440" w:header="567"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FD7A6" w14:textId="77777777" w:rsidR="00FE3D6E" w:rsidRDefault="00FE3D6E">
      <w:pPr>
        <w:spacing w:after="0" w:line="240" w:lineRule="auto"/>
      </w:pPr>
      <w:r>
        <w:separator/>
      </w:r>
    </w:p>
  </w:endnote>
  <w:endnote w:type="continuationSeparator" w:id="0">
    <w:p w14:paraId="122AB8E3" w14:textId="77777777" w:rsidR="00FE3D6E" w:rsidRDefault="00FE3D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1"/>
    <w:family w:val="roman"/>
    <w:pitch w:val="variable"/>
  </w:font>
  <w:font w:name="Noto Serif CJK SC">
    <w:panose1 w:val="00000000000000000000"/>
    <w:charset w:val="00"/>
    <w:family w:val="roman"/>
    <w:notTrueType/>
    <w:pitch w:val="default"/>
  </w:font>
  <w:font w:name="DejaVu Sans">
    <w:altName w:val="Verdan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ArialMT;Arial">
    <w:altName w:val="Arial"/>
    <w:panose1 w:val="00000000000000000000"/>
    <w:charset w:val="00"/>
    <w:family w:val="roman"/>
    <w:notTrueType/>
    <w:pitch w:val="default"/>
  </w:font>
  <w:font w:name="DengXian;等线">
    <w:panose1 w:val="00000000000000000000"/>
    <w:charset w:val="80"/>
    <w:family w:val="roman"/>
    <w:notTrueType/>
    <w:pitch w:val="default"/>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7F505" w14:textId="77777777" w:rsidR="00FE3D6E" w:rsidRDefault="00FE3D6E">
      <w:pPr>
        <w:spacing w:after="0" w:line="240" w:lineRule="auto"/>
      </w:pPr>
      <w:r>
        <w:separator/>
      </w:r>
    </w:p>
  </w:footnote>
  <w:footnote w:type="continuationSeparator" w:id="0">
    <w:p w14:paraId="35C82392" w14:textId="77777777" w:rsidR="00FE3D6E" w:rsidRDefault="00FE3D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14C4B" w14:textId="57CC86A3" w:rsidR="00E11D41" w:rsidRDefault="00643D5F">
    <w:pPr>
      <w:pStyle w:val="Header"/>
      <w:rPr>
        <w:lang w:val="en-US" w:eastAsia="en-US"/>
      </w:rPr>
    </w:pPr>
    <w:r>
      <w:rPr>
        <w:noProof/>
      </w:rPr>
      <w:drawing>
        <wp:anchor distT="0" distB="0" distL="0" distR="0" simplePos="0" relativeHeight="251657728" behindDoc="0" locked="0" layoutInCell="0" allowOverlap="1" wp14:anchorId="605EDFDF" wp14:editId="25DE2F62">
          <wp:simplePos x="0" y="0"/>
          <wp:positionH relativeFrom="margin">
            <wp:posOffset>0</wp:posOffset>
          </wp:positionH>
          <wp:positionV relativeFrom="paragraph">
            <wp:posOffset>635</wp:posOffset>
          </wp:positionV>
          <wp:extent cx="7560310" cy="1078865"/>
          <wp:effectExtent l="0" t="0" r="0" b="0"/>
          <wp:wrapSquare wrapText="bothSides"/>
          <wp:docPr id="1"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png"/>
                  <pic:cNvPicPr>
                    <a:picLocks noChangeAspect="1" noChangeArrowheads="1"/>
                  </pic:cNvPicPr>
                </pic:nvPicPr>
                <pic:blipFill>
                  <a:blip r:embed="rId1">
                    <a:extLst>
                      <a:ext uri="{28A0092B-C50C-407E-A947-70E740481C1C}">
                        <a14:useLocalDpi xmlns:a14="http://schemas.microsoft.com/office/drawing/2010/main" val="0"/>
                      </a:ext>
                    </a:extLst>
                  </a:blip>
                  <a:srcRect l="-2" t="-11" r="-2" b="-11"/>
                  <a:stretch>
                    <a:fillRect/>
                  </a:stretch>
                </pic:blipFill>
                <pic:spPr bwMode="auto">
                  <a:xfrm>
                    <a:off x="0" y="0"/>
                    <a:ext cx="7560310" cy="1078865"/>
                  </a:xfrm>
                  <a:prstGeom prst="rect">
                    <a:avLst/>
                  </a:prstGeom>
                  <a:noFill/>
                </pic:spPr>
              </pic:pic>
            </a:graphicData>
          </a:graphic>
          <wp14:sizeRelH relativeFrom="page">
            <wp14:pctWidth>0</wp14:pctWidth>
          </wp14:sizeRelH>
          <wp14:sizeRelV relativeFrom="page">
            <wp14:pctHeight>0</wp14:pctHeight>
          </wp14:sizeRelV>
        </wp:anchor>
      </w:drawing>
    </w:r>
  </w:p>
  <w:p w14:paraId="25F14C4C" w14:textId="77777777" w:rsidR="00E11D41" w:rsidRDefault="00E11D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0421CA"/>
    <w:multiLevelType w:val="multilevel"/>
    <w:tmpl w:val="1BB087A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9369104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ewtDQxMTQwNja0MDdW0lEKTi0uzszPAykwrAUAK1WZrywAAAA="/>
  </w:docVars>
  <w:rsids>
    <w:rsidRoot w:val="00E11D41"/>
    <w:rsid w:val="00133F17"/>
    <w:rsid w:val="003033B8"/>
    <w:rsid w:val="003B52D4"/>
    <w:rsid w:val="00623A71"/>
    <w:rsid w:val="00643D5F"/>
    <w:rsid w:val="00802B92"/>
    <w:rsid w:val="00990BBB"/>
    <w:rsid w:val="00997BF1"/>
    <w:rsid w:val="00BA4876"/>
    <w:rsid w:val="00C36895"/>
    <w:rsid w:val="00CC7C28"/>
    <w:rsid w:val="00E11D41"/>
    <w:rsid w:val="00E2232E"/>
    <w:rsid w:val="00E23ED2"/>
    <w:rsid w:val="00E87E7F"/>
    <w:rsid w:val="00FE3D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F14C34"/>
  <w15:docId w15:val="{21EF87AB-9CCC-4613-89AF-36ECD312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DejaVu Sans"/>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60" w:line="257" w:lineRule="auto"/>
    </w:pPr>
    <w:rPr>
      <w:rFonts w:ascii="Calibri" w:eastAsia="Calibri" w:hAnsi="Calibri" w:cs="Times New Roman"/>
      <w:sz w:val="22"/>
      <w:szCs w:val="22"/>
      <w:lang w:val="lt-LT" w:eastAsia="zh-CN"/>
    </w:rPr>
  </w:style>
  <w:style w:type="paragraph" w:styleId="Heading3">
    <w:name w:val="heading 3"/>
    <w:basedOn w:val="Normal"/>
    <w:next w:val="BodyText"/>
    <w:uiPriority w:val="9"/>
    <w:semiHidden/>
    <w:unhideWhenUsed/>
    <w:qFormat/>
    <w:pPr>
      <w:numPr>
        <w:ilvl w:val="2"/>
        <w:numId w:val="1"/>
      </w:numPr>
      <w:spacing w:before="280" w:after="280" w:line="240" w:lineRule="auto"/>
      <w:outlineLvl w:val="2"/>
    </w:pPr>
    <w:rPr>
      <w:rFonts w:ascii="Times New Roman" w:eastAsia="Times New Roman" w:hAnsi="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2z0">
    <w:name w:val="WW8Num2z0"/>
    <w:qFormat/>
    <w:rPr>
      <w:rFonts w:ascii="Symbol" w:hAnsi="Symbol" w:cs="Symbol"/>
      <w:sz w:val="20"/>
    </w:rPr>
  </w:style>
  <w:style w:type="character" w:customStyle="1" w:styleId="BalloonTextChar">
    <w:name w:val="Balloon Text Char"/>
    <w:qFormat/>
    <w:rPr>
      <w:rFonts w:ascii="Segoe UI" w:hAnsi="Segoe UI" w:cs="Segoe UI"/>
      <w:sz w:val="18"/>
      <w:szCs w:val="18"/>
    </w:rPr>
  </w:style>
  <w:style w:type="character" w:styleId="Hyperlink">
    <w:name w:val="Hyperlink"/>
    <w:rPr>
      <w:color w:val="0000FF"/>
      <w:u w:val="single"/>
    </w:rPr>
  </w:style>
  <w:style w:type="character" w:customStyle="1" w:styleId="HeaderChar">
    <w:name w:val="Header Char"/>
    <w:qFormat/>
    <w:rPr>
      <w:sz w:val="22"/>
      <w:szCs w:val="22"/>
    </w:rPr>
  </w:style>
  <w:style w:type="character" w:customStyle="1" w:styleId="FooterChar">
    <w:name w:val="Footer Char"/>
    <w:qFormat/>
    <w:rPr>
      <w:sz w:val="22"/>
      <w:szCs w:val="22"/>
    </w:rPr>
  </w:style>
  <w:style w:type="character" w:styleId="Strong">
    <w:name w:val="Strong"/>
    <w:qFormat/>
    <w:rPr>
      <w:b/>
      <w:bCs/>
    </w:rPr>
  </w:style>
  <w:style w:type="character" w:styleId="CommentReference">
    <w:name w:val="annotation reference"/>
    <w:qFormat/>
    <w:rPr>
      <w:sz w:val="16"/>
      <w:szCs w:val="16"/>
    </w:rPr>
  </w:style>
  <w:style w:type="character" w:customStyle="1" w:styleId="CommentTextChar">
    <w:name w:val="Comment Text Char"/>
    <w:qFormat/>
    <w:rPr>
      <w:lang w:val="lt-LT"/>
    </w:rPr>
  </w:style>
  <w:style w:type="character" w:customStyle="1" w:styleId="CommentSubjectChar">
    <w:name w:val="Comment Subject Char"/>
    <w:qFormat/>
    <w:rPr>
      <w:b/>
      <w:bCs/>
      <w:lang w:val="lt-LT"/>
    </w:rPr>
  </w:style>
  <w:style w:type="character" w:styleId="FollowedHyperlink">
    <w:name w:val="FollowedHyperlink"/>
    <w:rPr>
      <w:color w:val="954F72"/>
      <w:u w:val="single"/>
    </w:rPr>
  </w:style>
  <w:style w:type="character" w:customStyle="1" w:styleId="Heading3Char">
    <w:name w:val="Heading 3 Char"/>
    <w:qFormat/>
    <w:rPr>
      <w:rFonts w:ascii="Times New Roman" w:eastAsia="Times New Roman" w:hAnsi="Times New Roman" w:cs="Times New Roman"/>
      <w:b/>
      <w:bCs/>
      <w:sz w:val="27"/>
      <w:szCs w:val="27"/>
    </w:rPr>
  </w:style>
  <w:style w:type="character" w:customStyle="1" w:styleId="gd">
    <w:name w:val="gd"/>
    <w:qFormat/>
  </w:style>
  <w:style w:type="character" w:customStyle="1" w:styleId="g3">
    <w:name w:val="g3"/>
    <w:qFormat/>
  </w:style>
  <w:style w:type="character" w:customStyle="1" w:styleId="hb">
    <w:name w:val="hb"/>
    <w:qFormat/>
  </w:style>
  <w:style w:type="character" w:customStyle="1" w:styleId="g2">
    <w:name w:val="g2"/>
    <w:qFormat/>
  </w:style>
  <w:style w:type="character" w:styleId="UnresolvedMention">
    <w:name w:val="Unresolved Mention"/>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DejaVu Sans"/>
      <w:sz w:val="28"/>
      <w:szCs w:val="28"/>
    </w:rPr>
  </w:style>
  <w:style w:type="paragraph" w:styleId="BodyText">
    <w:name w:val="Body Text"/>
    <w:basedOn w:val="Normal"/>
    <w:pPr>
      <w:spacing w:after="140" w:line="276" w:lineRule="auto"/>
    </w:pPr>
  </w:style>
  <w:style w:type="paragraph" w:styleId="List">
    <w:name w:val="List"/>
    <w:basedOn w:val="BodyText"/>
    <w:rPr>
      <w:rFonts w:cs="DejaVu Sans"/>
    </w:rPr>
  </w:style>
  <w:style w:type="paragraph" w:styleId="Caption">
    <w:name w:val="caption"/>
    <w:basedOn w:val="Normal"/>
    <w:qFormat/>
    <w:pPr>
      <w:suppressLineNumbers/>
      <w:spacing w:before="120" w:after="120"/>
    </w:pPr>
    <w:rPr>
      <w:rFonts w:cs="DejaVu Sans"/>
      <w:i/>
      <w:iCs/>
      <w:sz w:val="24"/>
      <w:szCs w:val="24"/>
    </w:rPr>
  </w:style>
  <w:style w:type="paragraph" w:customStyle="1" w:styleId="Index">
    <w:name w:val="Index"/>
    <w:basedOn w:val="Normal"/>
    <w:qFormat/>
    <w:pPr>
      <w:suppressLineNumbers/>
    </w:pPr>
    <w:rPr>
      <w:rFonts w:cs="DejaVu Sans"/>
    </w:rPr>
  </w:style>
  <w:style w:type="paragraph" w:styleId="BalloonText">
    <w:name w:val="Balloon Text"/>
    <w:basedOn w:val="Normal"/>
    <w:qFormat/>
    <w:pPr>
      <w:spacing w:after="0" w:line="240" w:lineRule="auto"/>
    </w:pPr>
    <w:rPr>
      <w:rFonts w:ascii="Segoe UI" w:hAnsi="Segoe UI" w:cs="Segoe UI"/>
      <w:sz w:val="18"/>
      <w:szCs w:val="18"/>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pPr>
      <w:tabs>
        <w:tab w:val="center" w:pos="4819"/>
        <w:tab w:val="right" w:pos="9638"/>
      </w:tabs>
    </w:pPr>
  </w:style>
  <w:style w:type="paragraph" w:styleId="Footer">
    <w:name w:val="footer"/>
    <w:basedOn w:val="Normal"/>
    <w:pPr>
      <w:tabs>
        <w:tab w:val="center" w:pos="4819"/>
        <w:tab w:val="right" w:pos="9638"/>
      </w:tabs>
    </w:pPr>
  </w:style>
  <w:style w:type="paragraph" w:styleId="ListParagraph">
    <w:name w:val="List Paragraph"/>
    <w:basedOn w:val="Normal"/>
    <w:qFormat/>
    <w:pPr>
      <w:spacing w:after="200" w:line="276" w:lineRule="auto"/>
      <w:ind w:left="720"/>
      <w:contextualSpacing/>
    </w:pPr>
  </w:style>
  <w:style w:type="paragraph" w:styleId="NoSpacing">
    <w:name w:val="No Spacing"/>
    <w:qFormat/>
    <w:pPr>
      <w:suppressAutoHyphens/>
    </w:pPr>
    <w:rPr>
      <w:rFonts w:ascii="Calibri" w:eastAsia="Calibri" w:hAnsi="Calibri" w:cs="Times New Roman"/>
      <w:sz w:val="22"/>
      <w:szCs w:val="22"/>
      <w:lang w:val="lt-LT" w:eastAsia="zh-CN"/>
    </w:rPr>
  </w:style>
  <w:style w:type="paragraph" w:styleId="CommentText">
    <w:name w:val="annotation text"/>
    <w:basedOn w:val="Normal"/>
    <w:qFormat/>
    <w:rPr>
      <w:sz w:val="20"/>
      <w:szCs w:val="20"/>
    </w:rPr>
  </w:style>
  <w:style w:type="paragraph" w:styleId="CommentSubject">
    <w:name w:val="annotation subject"/>
    <w:basedOn w:val="CommentText"/>
    <w:next w:val="CommentText"/>
    <w:qFormat/>
    <w:rPr>
      <w:b/>
      <w:bCs/>
    </w:rPr>
  </w:style>
  <w:style w:type="paragraph" w:styleId="Revision">
    <w:name w:val="Revision"/>
    <w:qFormat/>
    <w:pPr>
      <w:suppressAutoHyphens/>
    </w:pPr>
    <w:rPr>
      <w:rFonts w:ascii="Calibri" w:eastAsia="Calibri" w:hAnsi="Calibri" w:cs="Times New Roman"/>
      <w:sz w:val="22"/>
      <w:szCs w:val="22"/>
      <w:lang w:val="lt-LT" w:eastAsia="zh-CN"/>
    </w:rPr>
  </w:style>
  <w:style w:type="paragraph" w:customStyle="1" w:styleId="Copy">
    <w:name w:val="Copy"/>
    <w:basedOn w:val="Normal"/>
    <w:qFormat/>
    <w:pPr>
      <w:autoSpaceDE w:val="0"/>
      <w:spacing w:after="0" w:line="235" w:lineRule="atLeast"/>
    </w:pPr>
    <w:rPr>
      <w:rFonts w:ascii="ArialMT;Arial" w:eastAsia="DengXian;等线" w:hAnsi="ArialMT;Arial" w:cs="Calibri"/>
      <w:color w:val="191919"/>
      <w:lang w:bidi="he-IL"/>
    </w:rPr>
  </w:style>
  <w:style w:type="numbering" w:customStyle="1" w:styleId="WW8Num1">
    <w:name w:val="WW8Num1"/>
    <w:qFormat/>
  </w:style>
  <w:style w:type="numbering" w:customStyle="1" w:styleId="WW8Num2">
    <w:name w:val="WW8Num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omas.vaisvila@dpd.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2157</Words>
  <Characters>1231</Characters>
  <Application>Microsoft Office Word</Application>
  <DocSecurity>0</DocSecurity>
  <Lines>10</Lines>
  <Paragraphs>6</Paragraphs>
  <ScaleCrop>false</ScaleCrop>
  <Company/>
  <LinksUpToDate>false</LinksUpToDate>
  <CharactersWithSpaces>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Vaišvila</dc:creator>
  <cp:keywords/>
  <dc:description/>
  <cp:lastModifiedBy>Gravitas Partners</cp:lastModifiedBy>
  <cp:revision>2</cp:revision>
  <dcterms:created xsi:type="dcterms:W3CDTF">2026-07-16T10:09:00Z</dcterms:created>
  <dcterms:modified xsi:type="dcterms:W3CDTF">2026-07-16T10:09:00Z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37d982b2-e315-41a9-8a5c-77f45d8598a6</vt:lpwstr>
  </property>
</Properties>
</file>