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B9612D" w14:textId="7E54A001" w:rsidR="00D10D80" w:rsidRDefault="00000000">
      <w:pPr>
        <w:widowControl w:val="0"/>
        <w:jc w:val="right"/>
        <w:rPr>
          <w:rFonts w:ascii="Calibri" w:eastAsia="Calibri" w:hAnsi="Calibri" w:cs="Calibri"/>
          <w:b/>
          <w:bCs/>
          <w:color w:val="1F497D"/>
          <w:sz w:val="36"/>
          <w:szCs w:val="36"/>
        </w:rPr>
      </w:pPr>
      <w:r>
        <w:rPr>
          <w:rFonts w:ascii="Calibri" w:eastAsia="Calibri" w:hAnsi="Calibri" w:cs="Calibri"/>
          <w:sz w:val="22"/>
          <w:szCs w:val="22"/>
        </w:rPr>
        <w:t xml:space="preserve">Vilnius, 2026 m. </w:t>
      </w:r>
      <w:r w:rsidR="00B405CE">
        <w:rPr>
          <w:rFonts w:ascii="Calibri" w:eastAsia="Calibri" w:hAnsi="Calibri" w:cs="Calibri"/>
          <w:sz w:val="22"/>
          <w:szCs w:val="22"/>
          <w:lang w:val="lt-LT"/>
        </w:rPr>
        <w:t xml:space="preserve">rugpjūčio </w:t>
      </w:r>
      <w:r w:rsidR="00B405CE">
        <w:rPr>
          <w:rFonts w:ascii="Calibri" w:eastAsia="Calibri" w:hAnsi="Calibri" w:cs="Calibri"/>
          <w:sz w:val="22"/>
          <w:szCs w:val="22"/>
          <w:lang w:val="en-US"/>
        </w:rPr>
        <w:t>4</w:t>
      </w:r>
      <w:r w:rsidR="00B405CE">
        <w:rPr>
          <w:rFonts w:ascii="Calibri" w:eastAsia="Calibri" w:hAnsi="Calibri" w:cs="Calibri"/>
          <w:sz w:val="22"/>
          <w:szCs w:val="22"/>
          <w:lang w:val="lt-LT"/>
        </w:rPr>
        <w:t xml:space="preserve"> </w:t>
      </w:r>
      <w:r>
        <w:rPr>
          <w:rFonts w:ascii="Calibri" w:eastAsia="Calibri" w:hAnsi="Calibri" w:cs="Calibri"/>
          <w:sz w:val="22"/>
          <w:szCs w:val="22"/>
        </w:rPr>
        <w:t>d.</w:t>
      </w:r>
    </w:p>
    <w:p w14:paraId="05B9612E" w14:textId="77777777" w:rsidR="00D10D80" w:rsidRDefault="00D10D80">
      <w:pPr>
        <w:spacing w:line="276" w:lineRule="auto"/>
        <w:jc w:val="center"/>
        <w:rPr>
          <w:rFonts w:ascii="Calibri" w:eastAsia="Calibri" w:hAnsi="Calibri" w:cs="Calibri"/>
          <w:b/>
          <w:bCs/>
          <w:color w:val="1F497D"/>
          <w:sz w:val="36"/>
          <w:szCs w:val="36"/>
        </w:rPr>
      </w:pPr>
    </w:p>
    <w:p w14:paraId="05B9612F" w14:textId="77777777" w:rsidR="00D10D80" w:rsidRDefault="00000000">
      <w:pPr>
        <w:jc w:val="center"/>
        <w:rPr>
          <w:rFonts w:ascii="Calibri" w:eastAsia="Calibri" w:hAnsi="Calibri" w:cs="Calibri"/>
          <w:b/>
          <w:bCs/>
          <w:color w:val="1F497D"/>
          <w:sz w:val="36"/>
          <w:szCs w:val="36"/>
        </w:rPr>
      </w:pPr>
      <w:r>
        <w:rPr>
          <w:rFonts w:ascii="Calibri" w:eastAsia="Calibri" w:hAnsi="Calibri" w:cs="Calibri"/>
          <w:b/>
          <w:bCs/>
          <w:color w:val="1F497D"/>
          <w:sz w:val="36"/>
          <w:szCs w:val="36"/>
        </w:rPr>
        <w:t>„Lidl Lietuva“ ir pirkėjų parama vaikų dienos centrams toliau auga: bendra suma perkopė 720 tūkst. eurų</w:t>
      </w:r>
    </w:p>
    <w:p w14:paraId="05B96130" w14:textId="77777777" w:rsidR="00D10D80" w:rsidRDefault="00000000">
      <w:pPr>
        <w:spacing w:before="240" w:after="240"/>
        <w:jc w:val="both"/>
        <w:rPr>
          <w:rFonts w:ascii="Helvetica Neue" w:eastAsia="Helvetica Neue" w:hAnsi="Helvetica Neue" w:cs="Helvetica Neue"/>
          <w:b/>
          <w:bCs/>
          <w:sz w:val="20"/>
          <w:szCs w:val="20"/>
          <w:highlight w:val="white"/>
        </w:rPr>
      </w:pPr>
      <w:r>
        <w:rPr>
          <w:rFonts w:ascii="Calibri" w:eastAsia="Calibri" w:hAnsi="Calibri" w:cs="Calibri"/>
          <w:b/>
          <w:bCs/>
          <w:sz w:val="22"/>
          <w:szCs w:val="22"/>
        </w:rPr>
        <w:t>Šalies gyventojai noriai prisideda prie vaikų gerovės ir už grąžintą tarą atgautą depozitą vis dažniau skiria vaikų dienos centrams, o „Lidl Lietuva“ šią sumą padvigubina. Vien per antrąjį šių metų ketvirtį vaikų dienos centrams paaukota beveik 33 tūkst. eurų. Surinkta parama padeda pasirūpinti, kad centrus lankantys vaikai vasarą leistų prasmingai, patirtų naujų įspūdžių ir turėtų tokių pat gražių vasaros prisiminimų kaip jų bendraamžiai.</w:t>
      </w:r>
    </w:p>
    <w:p w14:paraId="05B96131" w14:textId="77777777" w:rsidR="00D10D80" w:rsidRDefault="00000000">
      <w:pPr>
        <w:jc w:val="both"/>
        <w:rPr>
          <w:rFonts w:ascii="Calibri" w:eastAsia="Calibri" w:hAnsi="Calibri" w:cs="Calibri"/>
          <w:color w:val="FF0000"/>
        </w:rPr>
      </w:pPr>
      <w:r>
        <w:rPr>
          <w:rFonts w:ascii="Calibri" w:eastAsia="Calibri" w:hAnsi="Calibri" w:cs="Calibri"/>
          <w:sz w:val="22"/>
          <w:szCs w:val="22"/>
        </w:rPr>
        <w:t>Šių metų balandžio–birželio mėnesiais „Lidl Lietuva“ ir pirkėjai vaikų dienos centrams paaukojo beveik 33 tūkst. eurų, o lyginant su 2025 m. antruoju ketvirčiu, parama išaugo daugiau nei 33 proc. Daugiausia už taromatuose grąžintas pakuotes gauto depozito skyrė Vilniaus Rasų, Žemaitės ir Rinktinės gatvėse esančių „Lidl“ parduotuvių klientai. Nuo projekto pradžios 2017 m. vaikų dienos centrams jau surinkta daugiau nei 720 tūkst. eurų.</w:t>
      </w:r>
    </w:p>
    <w:p w14:paraId="05B96132" w14:textId="77777777" w:rsidR="00D10D80" w:rsidRDefault="00000000">
      <w:pPr>
        <w:spacing w:before="240" w:after="240"/>
        <w:jc w:val="both"/>
        <w:rPr>
          <w:rFonts w:ascii="Calibri" w:eastAsia="Calibri" w:hAnsi="Calibri" w:cs="Calibri"/>
          <w:color w:val="FF0000"/>
        </w:rPr>
      </w:pPr>
      <w:r>
        <w:rPr>
          <w:rFonts w:ascii="Calibri" w:eastAsia="Calibri" w:hAnsi="Calibri" w:cs="Calibri"/>
          <w:sz w:val="22"/>
          <w:szCs w:val="22"/>
        </w:rPr>
        <w:t>„Su vaikų dienos centrus globojančiomis organizacijomis bendradarbiaujame jau devynerius metus, o per šį laiką paaukota reikšminga suma rodo, kad visuomenė nėra abejinga šalies vaikų gerovei. Žmonės noriai prisideda, kad dienos centrus lankantys vaikai turėtų saugią aplinką, galėtų lavinti socialinius įgūdžius ir prasmingai leisti laiką. Padvigubindami pirkėjų skirtą paramą norime, kad ji pasiektų dar daugiau vaikų visoje Lietuvoje“, – sako „Lidl Lietuva“ tvarumo vadovė Monika Anilionė.</w:t>
      </w:r>
    </w:p>
    <w:p w14:paraId="05B96133" w14:textId="77777777" w:rsidR="00D10D80" w:rsidRDefault="00000000">
      <w:pPr>
        <w:spacing w:before="240" w:after="240"/>
        <w:jc w:val="both"/>
        <w:rPr>
          <w:rFonts w:ascii="Calibri" w:eastAsia="Calibri" w:hAnsi="Calibri" w:cs="Calibri"/>
          <w:sz w:val="22"/>
          <w:szCs w:val="22"/>
        </w:rPr>
      </w:pPr>
      <w:r>
        <w:rPr>
          <w:rFonts w:ascii="Calibri" w:eastAsia="Calibri" w:hAnsi="Calibri" w:cs="Calibri"/>
          <w:sz w:val="22"/>
          <w:szCs w:val="22"/>
        </w:rPr>
        <w:t>Surinktą paramą „Lidl Lietuva“ lygiomis dalimis perduoda vaikų dienos centrus globojančioms organizacijoms: „Gelbėkit vaikus“, „Lietuvos Caritas“ ir Maltos ordino pagalbos tarnybai.</w:t>
      </w:r>
    </w:p>
    <w:p w14:paraId="05B96134" w14:textId="77777777" w:rsidR="00D10D80" w:rsidRDefault="00000000">
      <w:pPr>
        <w:spacing w:before="240" w:after="240"/>
        <w:jc w:val="both"/>
        <w:rPr>
          <w:rFonts w:ascii="Calibri" w:eastAsia="Calibri" w:hAnsi="Calibri" w:cs="Calibri"/>
          <w:b/>
          <w:bCs/>
          <w:sz w:val="22"/>
          <w:szCs w:val="22"/>
        </w:rPr>
      </w:pPr>
      <w:r>
        <w:rPr>
          <w:rFonts w:ascii="Calibri" w:eastAsia="Calibri" w:hAnsi="Calibri" w:cs="Calibri"/>
          <w:b/>
          <w:bCs/>
          <w:sz w:val="22"/>
          <w:szCs w:val="22"/>
        </w:rPr>
        <w:t>Paramos poreikis vasarą nesumažėja</w:t>
      </w:r>
    </w:p>
    <w:p w14:paraId="05B96135" w14:textId="77777777" w:rsidR="00D10D80" w:rsidRDefault="00000000">
      <w:pPr>
        <w:spacing w:before="240" w:after="240"/>
        <w:jc w:val="both"/>
        <w:rPr>
          <w:rFonts w:ascii="Calibri" w:eastAsia="Calibri" w:hAnsi="Calibri" w:cs="Calibri"/>
          <w:sz w:val="22"/>
          <w:szCs w:val="22"/>
        </w:rPr>
      </w:pPr>
      <w:r>
        <w:rPr>
          <w:rFonts w:ascii="Calibri" w:eastAsia="Calibri" w:hAnsi="Calibri" w:cs="Calibri"/>
          <w:sz w:val="22"/>
          <w:szCs w:val="22"/>
        </w:rPr>
        <w:t>Vaikų dienos centrams vasara yra ne mažiau intensyvus metas nei mokslo metai. Pasibaigus pamokoms keičiasi vaikų dienotvarkė, todėl daugelis centrų darbą pradeda anksčiau ir pasirūpina, kad vaikai saugioje aplinkoje galėtų praleisti visą dieną.</w:t>
      </w:r>
    </w:p>
    <w:p w14:paraId="05B96136" w14:textId="77777777" w:rsidR="00D10D80" w:rsidRDefault="00000000">
      <w:pPr>
        <w:spacing w:before="240" w:after="240"/>
        <w:jc w:val="both"/>
        <w:rPr>
          <w:rFonts w:ascii="Calibri" w:eastAsia="Calibri" w:hAnsi="Calibri" w:cs="Calibri"/>
          <w:sz w:val="22"/>
          <w:szCs w:val="22"/>
        </w:rPr>
      </w:pPr>
      <w:r>
        <w:rPr>
          <w:rFonts w:ascii="Calibri" w:eastAsia="Calibri" w:hAnsi="Calibri" w:cs="Calibri"/>
          <w:sz w:val="22"/>
          <w:szCs w:val="22"/>
        </w:rPr>
        <w:t>„Vasara mūsų organizacijoje yra ypatingas laikas. Nors vaikai atostogauja, dienos centrų veikla nesustoja. Priešingai, daugeliui vaikų centras tampa dar svarbesne vieta, kurioje jie gali saugiai, prasmingai ir smagiai leisti laiką, išbandyti įvairias veiklas bei patirti naujų įspūdžių“, – dalijasi organizacijos „Gelbėkit vaikus“ Pasvalyje globojamo vaikų dienos centro darbuotoja Gintarė Banienė.</w:t>
      </w:r>
    </w:p>
    <w:p w14:paraId="05B96137" w14:textId="77777777" w:rsidR="00D10D80" w:rsidRDefault="00000000">
      <w:pPr>
        <w:spacing w:before="240" w:after="240"/>
        <w:jc w:val="both"/>
        <w:rPr>
          <w:rFonts w:ascii="Calibri" w:eastAsia="Calibri" w:hAnsi="Calibri" w:cs="Calibri"/>
          <w:color w:val="FF0000"/>
          <w:sz w:val="22"/>
          <w:szCs w:val="22"/>
        </w:rPr>
      </w:pPr>
      <w:r>
        <w:rPr>
          <w:rFonts w:ascii="Calibri" w:eastAsia="Calibri" w:hAnsi="Calibri" w:cs="Calibri"/>
          <w:sz w:val="22"/>
          <w:szCs w:val="22"/>
        </w:rPr>
        <w:t>Vasarą išauga ne tik visos dienos užimtumo, bet ir maitinimo, transporto bei edukacinių priemonių poreikis. Tai ypač svarbu vaikams iš pažeidžiamų šeimų, kurios ne visada gali pasirūpinti smagiomis atostogomis ar veiklomis, kurios prieinamos jų bendraamžiams. „Lidl Lietuva“ ir pirkėjų parama padeda vaikams suteikti daugiau saugių, prasmingų ir džiugių vasaros patirčių.</w:t>
      </w:r>
    </w:p>
    <w:p w14:paraId="05B96138" w14:textId="77777777" w:rsidR="00D10D80" w:rsidRDefault="00000000">
      <w:pPr>
        <w:jc w:val="both"/>
        <w:rPr>
          <w:rFonts w:ascii="Calibri" w:eastAsia="Calibri" w:hAnsi="Calibri" w:cs="Calibri"/>
          <w:b/>
          <w:bCs/>
          <w:sz w:val="22"/>
          <w:szCs w:val="22"/>
        </w:rPr>
      </w:pPr>
      <w:r>
        <w:rPr>
          <w:rFonts w:ascii="Calibri" w:eastAsia="Calibri" w:hAnsi="Calibri" w:cs="Calibri"/>
          <w:b/>
          <w:bCs/>
          <w:sz w:val="22"/>
          <w:szCs w:val="22"/>
        </w:rPr>
        <w:t>Nuo vasaros stovyklų iki atnaujintų centrų</w:t>
      </w:r>
    </w:p>
    <w:p w14:paraId="05B96139" w14:textId="77777777" w:rsidR="00D10D80" w:rsidRDefault="00D10D80">
      <w:pPr>
        <w:jc w:val="both"/>
        <w:rPr>
          <w:rFonts w:ascii="Calibri" w:eastAsia="Calibri" w:hAnsi="Calibri" w:cs="Calibri"/>
          <w:b/>
          <w:bCs/>
          <w:sz w:val="22"/>
          <w:szCs w:val="22"/>
        </w:rPr>
      </w:pPr>
    </w:p>
    <w:p w14:paraId="05B9613A" w14:textId="77777777" w:rsidR="00D10D80" w:rsidRDefault="00000000">
      <w:pPr>
        <w:jc w:val="both"/>
        <w:rPr>
          <w:rFonts w:ascii="Calibri" w:eastAsia="Calibri" w:hAnsi="Calibri" w:cs="Calibri"/>
          <w:color w:val="FF0000"/>
        </w:rPr>
      </w:pPr>
      <w:r>
        <w:rPr>
          <w:rFonts w:ascii="Calibri" w:eastAsia="Calibri" w:hAnsi="Calibri" w:cs="Calibri"/>
          <w:sz w:val="22"/>
          <w:szCs w:val="22"/>
        </w:rPr>
        <w:t>G. Banienė pasakoja, kad gauta parama padeda vaikų dienos centruose organizuoti įvairias vasaros veiklas. Jau ketvirtus metus iš eilės centrų komandos jungiasi prie iššūkio „Aktyvi vasara su draugais“. Visą mėnesį vaikai atlieka aktyvias užduotis, stiprina komandinę dvasią ir smagiai leidžia laiką, o vasaros pabaigoje jų laukia baigiamoji šventė, kuriai šiuo metu intensyviai ruošiamasi.</w:t>
      </w:r>
    </w:p>
    <w:p w14:paraId="05B9613B" w14:textId="77777777" w:rsidR="00D10D80" w:rsidRDefault="00000000">
      <w:pPr>
        <w:spacing w:before="240" w:after="240"/>
        <w:jc w:val="both"/>
        <w:rPr>
          <w:rFonts w:ascii="Calibri" w:eastAsia="Calibri" w:hAnsi="Calibri" w:cs="Calibri"/>
          <w:sz w:val="22"/>
          <w:szCs w:val="22"/>
        </w:rPr>
      </w:pPr>
      <w:r>
        <w:rPr>
          <w:rFonts w:ascii="Calibri" w:eastAsia="Calibri" w:hAnsi="Calibri" w:cs="Calibri"/>
          <w:sz w:val="22"/>
          <w:szCs w:val="22"/>
        </w:rPr>
        <w:t xml:space="preserve">„Lidl Lietuva“ ir pirkėjų parama įsimintinų patirčių suteikė ir Maltos ordino pagalbos tarnybos globojamiems vaikams. Telšių vaikų dienos centro lankytojai dalyvavo penkių dienų stovykloje, per kurią aplankė Žemaičių kaimo muziejų, </w:t>
      </w:r>
      <w:r>
        <w:rPr>
          <w:rFonts w:ascii="Calibri" w:eastAsia="Calibri" w:hAnsi="Calibri" w:cs="Calibri"/>
          <w:sz w:val="22"/>
          <w:szCs w:val="22"/>
        </w:rPr>
        <w:lastRenderedPageBreak/>
        <w:t xml:space="preserve">ieškojo meškiukų ir lobio, surengė pikniką prie ežero, lankėsi </w:t>
      </w:r>
      <w:proofErr w:type="spellStart"/>
      <w:r>
        <w:rPr>
          <w:rFonts w:ascii="Calibri" w:eastAsia="Calibri" w:hAnsi="Calibri" w:cs="Calibri"/>
          <w:sz w:val="22"/>
          <w:szCs w:val="22"/>
        </w:rPr>
        <w:t>Biržuvėnų</w:t>
      </w:r>
      <w:proofErr w:type="spellEnd"/>
      <w:r>
        <w:rPr>
          <w:rFonts w:ascii="Calibri" w:eastAsia="Calibri" w:hAnsi="Calibri" w:cs="Calibri"/>
          <w:sz w:val="22"/>
          <w:szCs w:val="22"/>
        </w:rPr>
        <w:t xml:space="preserve"> dvare, keliavo Laumės pėdos taku ir pramogavo prie Šatrijos kalno.</w:t>
      </w:r>
    </w:p>
    <w:p w14:paraId="05B9613C" w14:textId="77777777" w:rsidR="00D10D80" w:rsidRDefault="00000000">
      <w:pPr>
        <w:spacing w:before="240" w:after="240"/>
        <w:jc w:val="both"/>
        <w:rPr>
          <w:rFonts w:ascii="Calibri" w:eastAsia="Calibri" w:hAnsi="Calibri" w:cs="Calibri"/>
          <w:sz w:val="22"/>
          <w:szCs w:val="22"/>
        </w:rPr>
      </w:pPr>
      <w:r>
        <w:rPr>
          <w:rFonts w:ascii="Calibri" w:eastAsia="Calibri" w:hAnsi="Calibri" w:cs="Calibri"/>
          <w:sz w:val="22"/>
          <w:szCs w:val="22"/>
        </w:rPr>
        <w:t>„Vasarą vaikų dienos centrų darbuotojams tenka pasitelkti daug kūrybiškumo, kad kiekvienais metais galėtume pasiūlyti vaikams naujų patirčių. „Lidl“ ir pirkėjų parama čia ypač svarbi, nes lėšų išvykoms, maitinimui ir visos dienos užimtumui dažnai pritrūksta. Daugeliui vaikų tai yra galimybė patirti tai, ko jų šeimos ne visada gali suteikti: išvykti į žygį, apsilankyti žirgyne, išsimaudyti, pasisvečiuoti kitame vaikų dienos centre ar tiesiog surengti smagią šventę savo kieme. Norime, kad rudenį į mokyklą jie sugrįžtų turėdami gražių prisiminimų ir istorijų, kuriomis galėtų pasidalinti su draugais“, – sako Maltos ordino pagalbos tarnybos Vakarų regiono vadovė Iveta Bieliauskienė.</w:t>
      </w:r>
    </w:p>
    <w:p w14:paraId="05B9613D" w14:textId="77777777" w:rsidR="00D10D80" w:rsidRDefault="00000000">
      <w:pPr>
        <w:shd w:val="clear" w:color="auto" w:fill="FFFFFF"/>
        <w:jc w:val="both"/>
        <w:rPr>
          <w:rFonts w:ascii="Calibri" w:eastAsia="Calibri" w:hAnsi="Calibri" w:cs="Calibri"/>
          <w:b/>
          <w:bCs/>
          <w:sz w:val="22"/>
          <w:szCs w:val="22"/>
        </w:rPr>
      </w:pPr>
      <w:r>
        <w:rPr>
          <w:rFonts w:ascii="Calibri" w:eastAsia="Calibri" w:hAnsi="Calibri" w:cs="Calibri"/>
          <w:sz w:val="22"/>
          <w:szCs w:val="22"/>
        </w:rPr>
        <w:t>Lietuvos „Caritas“ dalį paramos skyrė keturių vaikų dienos centrų vasaros stovykloms, o kituose trijuose centruose atnaujino patalpas ir buitinę techniką. „Kol vaikai dalyvauja vasaros stovyklose, centruose atliekame remonto darbus: perdažome sienas, atnaujiname elektros instaliaciją, remontuojame sanitarinius mazgus ir atliekame kitus būtinus atnaujinimus. Norime, kad rudenį vaikai sugrįžtų į saugesnę ir jaukesnę aplinką“, – sako Lietuvos „</w:t>
      </w:r>
      <w:proofErr w:type="spellStart"/>
      <w:r>
        <w:rPr>
          <w:rFonts w:ascii="Calibri" w:eastAsia="Calibri" w:hAnsi="Calibri" w:cs="Calibri"/>
          <w:sz w:val="22"/>
          <w:szCs w:val="22"/>
        </w:rPr>
        <w:t>Carito</w:t>
      </w:r>
      <w:proofErr w:type="spellEnd"/>
      <w:r>
        <w:rPr>
          <w:rFonts w:ascii="Calibri" w:eastAsia="Calibri" w:hAnsi="Calibri" w:cs="Calibri"/>
          <w:sz w:val="22"/>
          <w:szCs w:val="22"/>
        </w:rPr>
        <w:t>“ vaikų dienos centrų koordinatorė Jūratė Blinstrubaitė.</w:t>
      </w:r>
    </w:p>
    <w:p w14:paraId="05B9613E" w14:textId="77777777" w:rsidR="00D10D80" w:rsidRDefault="00000000">
      <w:pPr>
        <w:spacing w:before="240" w:after="240"/>
        <w:jc w:val="both"/>
        <w:rPr>
          <w:rFonts w:ascii="Calibri" w:eastAsia="Calibri" w:hAnsi="Calibri" w:cs="Calibri"/>
          <w:b/>
          <w:bCs/>
          <w:sz w:val="22"/>
          <w:szCs w:val="22"/>
        </w:rPr>
      </w:pPr>
      <w:r>
        <w:rPr>
          <w:rFonts w:ascii="Calibri" w:eastAsia="Calibri" w:hAnsi="Calibri" w:cs="Calibri"/>
          <w:b/>
          <w:bCs/>
          <w:sz w:val="22"/>
          <w:szCs w:val="22"/>
        </w:rPr>
        <w:t>Pasiruošimas naujiems mokslo metams</w:t>
      </w:r>
    </w:p>
    <w:p w14:paraId="05B9613F" w14:textId="77777777" w:rsidR="00D10D80" w:rsidRDefault="00000000">
      <w:pPr>
        <w:jc w:val="both"/>
        <w:rPr>
          <w:rFonts w:ascii="Calibri" w:eastAsia="Calibri" w:hAnsi="Calibri" w:cs="Calibri"/>
          <w:sz w:val="22"/>
          <w:szCs w:val="22"/>
        </w:rPr>
      </w:pPr>
      <w:r>
        <w:rPr>
          <w:rFonts w:ascii="Calibri" w:eastAsia="Calibri" w:hAnsi="Calibri" w:cs="Calibri"/>
          <w:sz w:val="22"/>
          <w:szCs w:val="22"/>
        </w:rPr>
        <w:t>Besibaigiant vasarai, vaikų dienos centruose prasideda aktyvus pasiruošimas rugsėjui ir vaikų sugrįžimui į mokyklas.</w:t>
      </w:r>
    </w:p>
    <w:p w14:paraId="05B96140" w14:textId="77777777" w:rsidR="00D10D80" w:rsidRDefault="00D10D80">
      <w:pPr>
        <w:jc w:val="both"/>
        <w:rPr>
          <w:rFonts w:ascii="Calibri" w:eastAsia="Calibri" w:hAnsi="Calibri" w:cs="Calibri"/>
          <w:sz w:val="22"/>
          <w:szCs w:val="22"/>
        </w:rPr>
      </w:pPr>
    </w:p>
    <w:p w14:paraId="05B96141" w14:textId="77777777" w:rsidR="00D10D80" w:rsidRDefault="00000000">
      <w:pPr>
        <w:jc w:val="both"/>
        <w:rPr>
          <w:rFonts w:ascii="Calibri" w:eastAsia="Calibri" w:hAnsi="Calibri" w:cs="Calibri"/>
          <w:sz w:val="22"/>
          <w:szCs w:val="22"/>
        </w:rPr>
      </w:pPr>
      <w:r>
        <w:rPr>
          <w:rFonts w:ascii="Calibri" w:eastAsia="Calibri" w:hAnsi="Calibri" w:cs="Calibri"/>
          <w:sz w:val="22"/>
          <w:szCs w:val="22"/>
        </w:rPr>
        <w:t xml:space="preserve">„Artėjant rudeniui pradedame pasirengimą naujam mokslo metų sezonui. Vaikams sugrįžus į ugdymo įstaigas, dienos centruose vėl įsivyraus įprastas kasdienis ritmas: padėsime ruošti namų darbus, rengsime edukacinius ir kūrybinius užsiėmimus, žaisime, bendrausime bei stiprinsime vaikų socialinius įgūdžius. Taip pat planuojame naujų veiklų, kurios padėtų vaikams atrasti savo stiprybes, labiau pasitikėti savimi ir mokytis per patirtį. Norime ir toliau kurti vietą, į kurią vaikai mielai sugrįžtų po pamokų, kur jaustųsi saugūs, priimti ir išgirsti“, – dalijasi organizacijos „Gelbėkit vaikus“ globojamo Zarasų vaikų dienos centro „Draugai“ darbuotojos Ina Orlovskaja ir Judita </w:t>
      </w:r>
      <w:proofErr w:type="spellStart"/>
      <w:r>
        <w:rPr>
          <w:rFonts w:ascii="Calibri" w:eastAsia="Calibri" w:hAnsi="Calibri" w:cs="Calibri"/>
          <w:sz w:val="22"/>
          <w:szCs w:val="22"/>
        </w:rPr>
        <w:t>Padvaiskienė</w:t>
      </w:r>
      <w:proofErr w:type="spellEnd"/>
      <w:r>
        <w:rPr>
          <w:rFonts w:ascii="Calibri" w:eastAsia="Calibri" w:hAnsi="Calibri" w:cs="Calibri"/>
          <w:sz w:val="22"/>
          <w:szCs w:val="22"/>
        </w:rPr>
        <w:t>.</w:t>
      </w:r>
    </w:p>
    <w:p w14:paraId="05B96142" w14:textId="77777777" w:rsidR="00D10D80" w:rsidRDefault="00D10D80">
      <w:pPr>
        <w:jc w:val="both"/>
        <w:rPr>
          <w:rFonts w:ascii="Calibri" w:eastAsia="Calibri" w:hAnsi="Calibri" w:cs="Calibri"/>
          <w:sz w:val="22"/>
          <w:szCs w:val="22"/>
        </w:rPr>
      </w:pPr>
    </w:p>
    <w:p w14:paraId="05B96143" w14:textId="77777777" w:rsidR="00D10D80" w:rsidRDefault="00000000">
      <w:pPr>
        <w:jc w:val="both"/>
        <w:rPr>
          <w:rFonts w:ascii="Calibri" w:eastAsia="Calibri" w:hAnsi="Calibri" w:cs="Calibri"/>
          <w:sz w:val="22"/>
          <w:szCs w:val="22"/>
        </w:rPr>
      </w:pPr>
      <w:r>
        <w:rPr>
          <w:rFonts w:ascii="Calibri" w:eastAsia="Calibri" w:hAnsi="Calibri" w:cs="Calibri"/>
          <w:sz w:val="22"/>
          <w:szCs w:val="22"/>
        </w:rPr>
        <w:t>Nuo projekto pradžios surinkta suma siekia daugiau nei 720 tūkstančių eurų. Prisidėti prie pagalbą vaikams teikiančių organizacijų veiklos gali visi, besinaudojantys prekybos tinklo „Lidl“ taromatais. Atidavus tarą tereikia paspausti mygtuką „Aukoti“. Skyrus paramą vaikų dienos centrams, sumą „Lidl Lietuva“ padvigubina ir perveda juos koordinuojančioms organizacijoms.</w:t>
      </w:r>
    </w:p>
    <w:p w14:paraId="05B96144" w14:textId="77777777" w:rsidR="00D10D80" w:rsidRDefault="00D10D80">
      <w:pPr>
        <w:jc w:val="both"/>
        <w:rPr>
          <w:rFonts w:ascii="Calibri" w:eastAsia="Calibri" w:hAnsi="Calibri" w:cs="Calibri"/>
          <w:sz w:val="22"/>
          <w:szCs w:val="22"/>
        </w:rPr>
      </w:pPr>
    </w:p>
    <w:p w14:paraId="05B96145" w14:textId="77777777" w:rsidR="00D10D80" w:rsidRDefault="00000000">
      <w:pPr>
        <w:jc w:val="both"/>
        <w:rPr>
          <w:rFonts w:ascii="Calibri" w:eastAsia="Calibri" w:hAnsi="Calibri" w:cs="Calibri"/>
          <w:sz w:val="22"/>
          <w:szCs w:val="22"/>
        </w:rPr>
      </w:pPr>
      <w:r>
        <w:rPr>
          <w:rFonts w:ascii="Calibri" w:eastAsia="Calibri" w:hAnsi="Calibri" w:cs="Calibri"/>
          <w:sz w:val="22"/>
          <w:szCs w:val="22"/>
        </w:rPr>
        <w:t>Paaukoti vaikų dienos centrams galima visose 86 „Lidl“ parduotuvėse 31 šalies mieste: Vilniuje, Kaune, Klaipėdoje, Šiauliuose, Alytuje, Marijampolėje, Kėdainiuose, Telšiuose, Kretingoje, Mažeikiuose, Tauragėje, Jonavoje, Panevėžyje, Ukmergėje, Utenoje, Plungėje, Palangoje, Elektrėnuose, Visagine, Šilutėje, Radviliškyje, Vilkaviškyje, Druskininkuose, Rokiškyje, Kaišiadoryse, Nemenčinėje, Gargžduose, Raseiniuose, Molėtuose, Jurbarke ir Garliavoje.</w:t>
      </w:r>
    </w:p>
    <w:p w14:paraId="05B96146" w14:textId="77777777" w:rsidR="00D10D80" w:rsidRDefault="00D10D80">
      <w:pPr>
        <w:jc w:val="both"/>
        <w:rPr>
          <w:rFonts w:ascii="Helvetica Neue" w:eastAsia="Helvetica Neue" w:hAnsi="Helvetica Neue" w:cs="Helvetica Neue"/>
          <w:sz w:val="20"/>
          <w:szCs w:val="20"/>
        </w:rPr>
      </w:pPr>
    </w:p>
    <w:p w14:paraId="05B96147" w14:textId="77777777" w:rsidR="00D10D80" w:rsidRDefault="00000000">
      <w:pPr>
        <w:spacing w:after="200"/>
        <w:jc w:val="both"/>
        <w:rPr>
          <w:rFonts w:ascii="Calibri" w:eastAsia="Calibri" w:hAnsi="Calibri" w:cs="Calibri"/>
          <w:b/>
          <w:bCs/>
          <w:sz w:val="18"/>
          <w:szCs w:val="18"/>
        </w:rPr>
      </w:pPr>
      <w:r>
        <w:rPr>
          <w:rFonts w:ascii="Calibri" w:eastAsia="Calibri" w:hAnsi="Calibri" w:cs="Calibri"/>
          <w:b/>
          <w:bCs/>
          <w:sz w:val="18"/>
          <w:szCs w:val="18"/>
        </w:rPr>
        <w:t>Daugiau informacijos:</w:t>
      </w:r>
    </w:p>
    <w:p w14:paraId="05B96148" w14:textId="77777777" w:rsidR="00D10D80" w:rsidRDefault="00000000">
      <w:pPr>
        <w:jc w:val="both"/>
        <w:rPr>
          <w:rFonts w:ascii="Calibri" w:eastAsia="Calibri" w:hAnsi="Calibri" w:cs="Calibri"/>
          <w:sz w:val="18"/>
          <w:szCs w:val="18"/>
        </w:rPr>
      </w:pPr>
      <w:r>
        <w:rPr>
          <w:rFonts w:ascii="Calibri" w:eastAsia="Calibri" w:hAnsi="Calibri" w:cs="Calibri"/>
          <w:sz w:val="18"/>
          <w:szCs w:val="18"/>
        </w:rPr>
        <w:t>Korporatyvinių reikalų ir komunikacijos departamentas</w:t>
      </w:r>
    </w:p>
    <w:p w14:paraId="05B96149" w14:textId="77777777" w:rsidR="00D10D80" w:rsidRDefault="00000000">
      <w:pPr>
        <w:jc w:val="both"/>
        <w:rPr>
          <w:rFonts w:ascii="Calibri" w:eastAsia="Calibri" w:hAnsi="Calibri" w:cs="Calibri"/>
          <w:sz w:val="18"/>
          <w:szCs w:val="18"/>
        </w:rPr>
      </w:pPr>
      <w:r>
        <w:rPr>
          <w:rFonts w:ascii="Calibri" w:eastAsia="Calibri" w:hAnsi="Calibri" w:cs="Calibri"/>
          <w:sz w:val="18"/>
          <w:szCs w:val="18"/>
        </w:rPr>
        <w:t>UAB „Lidl Lietuva“</w:t>
      </w:r>
    </w:p>
    <w:p w14:paraId="05B9614A" w14:textId="77777777" w:rsidR="00D10D80" w:rsidRDefault="00D10D80">
      <w:pPr>
        <w:jc w:val="both"/>
        <w:rPr>
          <w:rFonts w:ascii="Calibri" w:eastAsia="Calibri" w:hAnsi="Calibri" w:cs="Calibri"/>
          <w:b/>
          <w:bCs/>
          <w:sz w:val="14"/>
          <w:szCs w:val="14"/>
        </w:rPr>
      </w:pPr>
      <w:hyperlink r:id="rId7">
        <w:r>
          <w:rPr>
            <w:rFonts w:ascii="Calibri" w:eastAsia="Calibri" w:hAnsi="Calibri" w:cs="Calibri"/>
            <w:color w:val="0000FF"/>
            <w:sz w:val="18"/>
            <w:szCs w:val="18"/>
            <w:u w:val="single"/>
          </w:rPr>
          <w:t>bendraukime@lidl.lt</w:t>
        </w:r>
      </w:hyperlink>
    </w:p>
    <w:sectPr w:rsidR="00D10D80">
      <w:headerReference w:type="even" r:id="rId8"/>
      <w:headerReference w:type="default" r:id="rId9"/>
      <w:footerReference w:type="default" r:id="rId10"/>
      <w:headerReference w:type="first" r:id="rId11"/>
      <w:footerReference w:type="first" r:id="rId12"/>
      <w:pgSz w:w="11900" w:h="16840"/>
      <w:pgMar w:top="720" w:right="720" w:bottom="2552" w:left="720" w:header="425"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8F72D8" w14:textId="77777777" w:rsidR="00437FD2" w:rsidRDefault="00437FD2">
      <w:r>
        <w:separator/>
      </w:r>
    </w:p>
  </w:endnote>
  <w:endnote w:type="continuationSeparator" w:id="0">
    <w:p w14:paraId="336C6DAE" w14:textId="77777777" w:rsidR="00437FD2" w:rsidRDefault="00437F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1" w:fontKey="{773B40B3-129A-42EB-97F3-4ECCD9CEA3F5}"/>
    <w:embedBold r:id="rId2" w:fontKey="{361B9A3A-DEFA-4B31-AC6F-C90519200DA8}"/>
  </w:font>
  <w:font w:name="Georgia">
    <w:panose1 w:val="02040502050405020303"/>
    <w:charset w:val="BA"/>
    <w:family w:val="roman"/>
    <w:pitch w:val="variable"/>
    <w:sig w:usb0="00000287" w:usb1="00000000" w:usb2="00000000" w:usb3="00000000" w:csb0="0000009F" w:csb1="00000000"/>
    <w:embedItalic r:id="rId3" w:fontKey="{BCDD5630-D49F-47BA-AF3B-39CC6102CC47}"/>
  </w:font>
  <w:font w:name="Calibri">
    <w:panose1 w:val="020F0502020204030204"/>
    <w:charset w:val="BA"/>
    <w:family w:val="swiss"/>
    <w:pitch w:val="variable"/>
    <w:sig w:usb0="E4002EFF" w:usb1="C200247B" w:usb2="00000009" w:usb3="00000000" w:csb0="000001FF" w:csb1="00000000"/>
    <w:embedRegular r:id="rId4" w:fontKey="{46127761-6535-4B0A-B228-4EC29810F9F1}"/>
    <w:embedBold r:id="rId5" w:fontKey="{AB0F38A3-A9FE-4AF3-9B23-57B034BD2709}"/>
  </w:font>
  <w:font w:name="Helvetica Neue">
    <w:charset w:val="00"/>
    <w:family w:val="auto"/>
    <w:pitch w:val="default"/>
    <w:embedRegular r:id="rId6" w:fontKey="{58332D49-E4EB-49BD-ACD1-B7ADF4D40AD7}"/>
    <w:embedBold r:id="rId7" w:fontKey="{5232ED79-38CA-4444-BFC8-F158E66B8367}"/>
  </w:font>
  <w:font w:name="News Gothic Bd BT Reg">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B9614E" w14:textId="77777777" w:rsidR="00D10D80" w:rsidRDefault="00000000">
    <w:pPr>
      <w:pBdr>
        <w:top w:val="nil"/>
        <w:left w:val="nil"/>
        <w:bottom w:val="nil"/>
        <w:right w:val="nil"/>
        <w:between w:val="nil"/>
      </w:pBdr>
      <w:tabs>
        <w:tab w:val="center" w:pos="4536"/>
        <w:tab w:val="right" w:pos="9072"/>
      </w:tabs>
      <w:ind w:right="360"/>
      <w:rPr>
        <w:color w:val="000000"/>
      </w:rPr>
    </w:pPr>
    <w:r>
      <w:rPr>
        <w:noProof/>
      </w:rPr>
      <mc:AlternateContent>
        <mc:Choice Requires="wpg">
          <w:drawing>
            <wp:anchor distT="0" distB="0" distL="114300" distR="114300" simplePos="0" relativeHeight="251660288" behindDoc="0" locked="0" layoutInCell="1" hidden="0" allowOverlap="1" wp14:anchorId="05B96153" wp14:editId="05B96154">
              <wp:simplePos x="0" y="0"/>
              <wp:positionH relativeFrom="column">
                <wp:posOffset>-195219</wp:posOffset>
              </wp:positionH>
              <wp:positionV relativeFrom="paragraph">
                <wp:posOffset>-525419</wp:posOffset>
              </wp:positionV>
              <wp:extent cx="4559300" cy="939800"/>
              <wp:effectExtent l="0" t="0" r="0" b="0"/>
              <wp:wrapNone/>
              <wp:docPr id="1" name="Rectangle 1"/>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05B96159" w14:textId="77777777" w:rsidR="00D10D80" w:rsidRDefault="00000000">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-195219</wp:posOffset>
              </wp:positionH>
              <wp:positionV relativeFrom="paragraph">
                <wp:posOffset>-525419</wp:posOffset>
              </wp:positionV>
              <wp:extent cx="4559300" cy="939800"/>
              <wp:effectExtent b="0" l="0" r="0" t="0"/>
              <wp:wrapNone/>
              <wp:docPr id="1"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4559300" cy="939800"/>
                      </a:xfrm>
                      <a:prstGeom prst="rect"/>
                      <a:ln/>
                    </pic:spPr>
                  </pic:pic>
                </a:graphicData>
              </a:graphic>
            </wp:anchor>
          </w:drawing>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B96150" w14:textId="77777777" w:rsidR="00D10D80" w:rsidRDefault="00000000">
    <w:pPr>
      <w:pBdr>
        <w:top w:val="nil"/>
        <w:left w:val="nil"/>
        <w:bottom w:val="nil"/>
        <w:right w:val="nil"/>
        <w:between w:val="nil"/>
      </w:pBdr>
      <w:tabs>
        <w:tab w:val="center" w:pos="4536"/>
        <w:tab w:val="right" w:pos="9072"/>
        <w:tab w:val="left" w:pos="8535"/>
      </w:tabs>
      <w:rPr>
        <w:color w:val="000000"/>
      </w:rPr>
    </w:pPr>
    <w:r>
      <w:rPr>
        <w:color w:val="000000"/>
      </w:rPr>
      <w:tab/>
    </w:r>
    <w:r>
      <w:rPr>
        <w:noProof/>
      </w:rPr>
      <mc:AlternateContent>
        <mc:Choice Requires="wpg">
          <w:drawing>
            <wp:anchor distT="0" distB="0" distL="114300" distR="114300" simplePos="0" relativeHeight="251661312" behindDoc="0" locked="0" layoutInCell="1" hidden="0" allowOverlap="1" wp14:anchorId="05B96157" wp14:editId="05B96158">
              <wp:simplePos x="0" y="0"/>
              <wp:positionH relativeFrom="column">
                <wp:posOffset>-207921</wp:posOffset>
              </wp:positionH>
              <wp:positionV relativeFrom="paragraph">
                <wp:posOffset>-588919</wp:posOffset>
              </wp:positionV>
              <wp:extent cx="4559300" cy="939800"/>
              <wp:effectExtent l="0" t="0" r="0" b="0"/>
              <wp:wrapNone/>
              <wp:docPr id="2" name="Rectangle 2"/>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05B9615A" w14:textId="77777777" w:rsidR="00D10D80" w:rsidRDefault="00000000">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-207921</wp:posOffset>
              </wp:positionH>
              <wp:positionV relativeFrom="paragraph">
                <wp:posOffset>-588919</wp:posOffset>
              </wp:positionV>
              <wp:extent cx="4559300" cy="939800"/>
              <wp:effectExtent b="0" l="0" r="0" t="0"/>
              <wp:wrapNone/>
              <wp:docPr id="2"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4559300" cy="93980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5E58F9" w14:textId="77777777" w:rsidR="00437FD2" w:rsidRDefault="00437FD2">
      <w:r>
        <w:separator/>
      </w:r>
    </w:p>
  </w:footnote>
  <w:footnote w:type="continuationSeparator" w:id="0">
    <w:p w14:paraId="1E3F47C8" w14:textId="77777777" w:rsidR="00437FD2" w:rsidRDefault="00437F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B9614B" w14:textId="77777777" w:rsidR="00D10D80" w:rsidRDefault="00000000">
    <w:pPr>
      <w:rPr>
        <w:rFonts w:ascii="News Gothic Bd BT Reg" w:eastAsia="News Gothic Bd BT Reg" w:hAnsi="News Gothic Bd BT Reg" w:cs="News Gothic Bd BT Reg"/>
      </w:rPr>
    </w:pPr>
    <w:r>
      <w:rPr>
        <w:rFonts w:ascii="News Gothic Bd BT Reg" w:eastAsia="News Gothic Bd BT Reg" w:hAnsi="News Gothic Bd BT Reg" w:cs="News Gothic Bd BT Reg"/>
      </w:rPr>
      <w:t>www.</w:t>
    </w:r>
  </w:p>
  <w:p w14:paraId="05B9614C" w14:textId="77777777" w:rsidR="00D10D80" w:rsidRDefault="00D10D80">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B9614D" w14:textId="77777777" w:rsidR="00D10D80" w:rsidRDefault="00000000">
    <w:pPr>
      <w:pBdr>
        <w:top w:val="nil"/>
        <w:left w:val="nil"/>
        <w:bottom w:val="nil"/>
        <w:right w:val="nil"/>
        <w:between w:val="nil"/>
      </w:pBdr>
      <w:tabs>
        <w:tab w:val="center" w:pos="4536"/>
        <w:tab w:val="right" w:pos="9072"/>
      </w:tabs>
      <w:rPr>
        <w:color w:val="000000"/>
      </w:rPr>
    </w:pPr>
    <w:r>
      <w:rPr>
        <w:noProof/>
        <w:color w:val="000000"/>
        <w:vertAlign w:val="subscript"/>
      </w:rPr>
      <w:drawing>
        <wp:anchor distT="0" distB="0" distL="0" distR="0" simplePos="0" relativeHeight="251658240" behindDoc="1" locked="0" layoutInCell="1" hidden="0" allowOverlap="1" wp14:anchorId="05B96151" wp14:editId="05B96152">
          <wp:simplePos x="0" y="0"/>
          <wp:positionH relativeFrom="page">
            <wp:align>left</wp:align>
          </wp:positionH>
          <wp:positionV relativeFrom="page">
            <wp:posOffset>40640</wp:posOffset>
          </wp:positionV>
          <wp:extent cx="7559040" cy="10689336"/>
          <wp:effectExtent l="0" t="0" r="0" b="0"/>
          <wp:wrapNone/>
          <wp:docPr id="3"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B9614F" w14:textId="77777777" w:rsidR="00D10D80" w:rsidRDefault="00000000">
    <w:pPr>
      <w:pBdr>
        <w:top w:val="nil"/>
        <w:left w:val="nil"/>
        <w:bottom w:val="nil"/>
        <w:right w:val="nil"/>
        <w:between w:val="nil"/>
      </w:pBdr>
      <w:tabs>
        <w:tab w:val="center" w:pos="4536"/>
        <w:tab w:val="right" w:pos="9072"/>
      </w:tabs>
      <w:rPr>
        <w:color w:val="000000"/>
        <w:vertAlign w:val="subscript"/>
      </w:rPr>
    </w:pPr>
    <w:r>
      <w:rPr>
        <w:noProof/>
        <w:color w:val="000000"/>
        <w:vertAlign w:val="subscript"/>
      </w:rPr>
      <w:drawing>
        <wp:anchor distT="0" distB="0" distL="0" distR="0" simplePos="0" relativeHeight="251659264" behindDoc="1" locked="0" layoutInCell="1" hidden="0" allowOverlap="1" wp14:anchorId="05B96155" wp14:editId="05B96156">
          <wp:simplePos x="0" y="0"/>
          <wp:positionH relativeFrom="page">
            <wp:posOffset>0</wp:posOffset>
          </wp:positionH>
          <wp:positionV relativeFrom="page">
            <wp:posOffset>3937</wp:posOffset>
          </wp:positionV>
          <wp:extent cx="7559040" cy="10689336"/>
          <wp:effectExtent l="0" t="0" r="0" b="0"/>
          <wp:wrapNone/>
          <wp:docPr id="4"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r>
      <w:rPr>
        <w:color w:val="000000"/>
        <w:vertAlign w:val="subscript"/>
      </w:rPr>
      <w:tab/>
    </w:r>
    <w:r>
      <w:rPr>
        <w:color w:val="000000"/>
        <w:vertAlign w:val="subscript"/>
      </w:rPr>
      <w:tab/>
    </w:r>
    <w:r>
      <w:rPr>
        <w:color w:val="000000"/>
        <w:vertAlign w:val="subscript"/>
      </w:rP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0D80"/>
    <w:rsid w:val="00022190"/>
    <w:rsid w:val="00237E7F"/>
    <w:rsid w:val="00437FD2"/>
    <w:rsid w:val="00B405CE"/>
    <w:rsid w:val="00BF6ABA"/>
    <w:rsid w:val="00D10D80"/>
    <w:rsid w:val="00D30BBA"/>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B9612D"/>
  <w15:docId w15:val="{ACB29E5A-0849-4DB0-A2B3-8A207B9858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after="120"/>
      <w:jc w:val="both"/>
      <w:outlineLvl w:val="0"/>
    </w:pPr>
    <w:rPr>
      <w:rFonts w:ascii="Arial" w:eastAsia="Arial" w:hAnsi="Arial" w:cs="Arial"/>
      <w:b/>
      <w:bCs/>
      <w:sz w:val="28"/>
      <w:szCs w:val="2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00"/>
      <w:outlineLvl w:val="2"/>
    </w:pPr>
    <w:rPr>
      <w:rFonts w:ascii="Cambria" w:eastAsia="Cambria" w:hAnsi="Cambria" w:cs="Cambria"/>
      <w:b/>
      <w:bCs/>
      <w:color w:val="4F81BD"/>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bendraukime@lidl.lt" TargetMode="Externa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mcCyr0ZHOc97cFg+oOxYylrQZzA==">CgMxLjA4AHIhMUhyZVo4ZkxqN0NYRGN5dGJaQVpQQjBQeTFCZVp6T3Z5</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Pages>
  <Words>4185</Words>
  <Characters>2387</Characters>
  <Application>Microsoft Office Word</Application>
  <DocSecurity>0</DocSecurity>
  <Lines>19</Lines>
  <Paragraphs>13</Paragraphs>
  <ScaleCrop>false</ScaleCrop>
  <Company/>
  <LinksUpToDate>false</LinksUpToDate>
  <CharactersWithSpaces>6559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Rita Zinkevičė</cp:lastModifiedBy>
  <cp:revision>3</cp:revision>
  <dcterms:created xsi:type="dcterms:W3CDTF">2026-08-03T09:30:00Z</dcterms:created>
  <dcterms:modified xsi:type="dcterms:W3CDTF">2026-08-03T09:33:00Z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767a8fb2464bb2d98a02501a62c8a026b44957ab338ba87abb4c5067d18cfe43</vt:lpwstr>
  </property>
</Properties>
</file>