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jc w:val="right"/>
        <w:rPr>
          <w:rFonts w:ascii="Calibri" w:cs="Calibri" w:eastAsia="Calibri" w:hAnsi="Calibri"/>
          <w:b w:val="1"/>
          <w:bCs w:val="1"/>
          <w:color w:val="1f497d"/>
          <w:sz w:val="36"/>
          <w:szCs w:val="36"/>
        </w:rPr>
      </w:pPr>
      <w:r w:rsidDel="00000000" w:rsidR="00000000" w:rsidRPr="00000000">
        <w:rPr>
          <w:rFonts w:ascii="Calibri" w:cs="Calibri" w:eastAsia="Calibri" w:hAnsi="Calibri"/>
          <w:sz w:val="22"/>
          <w:szCs w:val="22"/>
          <w:rtl w:val="0"/>
        </w:rPr>
        <w:t xml:space="preserve">Vilnius, 2026 m. rugpjūčio 18 d.</w:t>
      </w:r>
      <w:r w:rsidDel="00000000" w:rsidR="00000000" w:rsidRPr="00000000">
        <w:rPr>
          <w:rtl w:val="0"/>
        </w:rPr>
      </w:r>
    </w:p>
    <w:p w:rsidR="00000000" w:rsidDel="00000000" w:rsidP="00000000" w:rsidRDefault="00000000" w:rsidRPr="00000000" w14:paraId="00000002">
      <w:pPr>
        <w:spacing w:line="276" w:lineRule="auto"/>
        <w:jc w:val="left"/>
        <w:rPr>
          <w:rFonts w:ascii="Calibri" w:cs="Calibri" w:eastAsia="Calibri" w:hAnsi="Calibri"/>
          <w:b w:val="1"/>
          <w:bCs w:val="1"/>
          <w:color w:val="1f497d"/>
          <w:sz w:val="36"/>
          <w:szCs w:val="36"/>
        </w:rPr>
      </w:pPr>
      <w:r w:rsidDel="00000000" w:rsidR="00000000" w:rsidRPr="00000000">
        <w:rPr>
          <w:rtl w:val="0"/>
        </w:rPr>
      </w:r>
    </w:p>
    <w:p w:rsidR="00000000" w:rsidDel="00000000" w:rsidP="00000000" w:rsidRDefault="00000000" w:rsidRPr="00000000" w14:paraId="00000003">
      <w:pPr>
        <w:spacing w:line="276" w:lineRule="auto"/>
        <w:jc w:val="center"/>
        <w:rPr>
          <w:rFonts w:ascii="Calibri" w:cs="Calibri" w:eastAsia="Calibri" w:hAnsi="Calibri"/>
          <w:b w:val="1"/>
          <w:bCs w:val="1"/>
          <w:color w:val="1f497d"/>
          <w:sz w:val="36"/>
          <w:szCs w:val="36"/>
          <w:highlight w:val="white"/>
        </w:rPr>
      </w:pPr>
      <w:r w:rsidDel="00000000" w:rsidR="00000000" w:rsidRPr="00000000">
        <w:rPr>
          <w:rFonts w:ascii="Calibri" w:cs="Calibri" w:eastAsia="Calibri" w:hAnsi="Calibri"/>
          <w:b w:val="1"/>
          <w:bCs w:val="1"/>
          <w:color w:val="1f497d"/>
          <w:sz w:val="36"/>
          <w:szCs w:val="36"/>
          <w:rtl w:val="0"/>
        </w:rPr>
        <w:t xml:space="preserve">„Lidl Lietuva“ ir toliau moka didžiausius atlyginimus sektoriuje</w:t>
      </w:r>
      <w:r w:rsidDel="00000000" w:rsidR="00000000" w:rsidRPr="00000000">
        <w:rPr>
          <w:rtl w:val="0"/>
        </w:rPr>
      </w:r>
    </w:p>
    <w:p w:rsidR="00000000" w:rsidDel="00000000" w:rsidP="00000000" w:rsidRDefault="00000000" w:rsidRPr="00000000" w14:paraId="00000004">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Žemų kainų prekybos tinklas „Lidl Lietuva“ ir toliau pirmauja pagal darbuotojams mokamus atlyginimus. Pirmąjį šių metų pusmetį įmonės darbuotojų vidutinis darbo užmokestis prieš mokesčius buvo didžiausias tarp penkių didžiųjų šalies prekybos tinklų. </w:t>
      </w:r>
    </w:p>
    <w:p w:rsidR="00000000" w:rsidDel="00000000" w:rsidP="00000000" w:rsidRDefault="00000000" w:rsidRPr="00000000" w14:paraId="00000006">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Lyderio poziciją „Lidl Lietuva“ išlaikė tiek pirmąjį, tiek antrąjį metų ketvirtį. Pirmąjį ketvirtį darbuotojų vidutinis darbo užmokestis siekė 2557,34 euro, o antrąjį ketvirtį – 2762,04 euro.</w:t>
      </w:r>
    </w:p>
    <w:p w:rsidR="00000000" w:rsidDel="00000000" w:rsidP="00000000" w:rsidRDefault="00000000" w:rsidRPr="00000000" w14:paraId="00000008">
      <w:pPr>
        <w:jc w:val="both"/>
        <w:rPr>
          <w:rFonts w:ascii="Calibri" w:cs="Calibri" w:eastAsia="Calibri" w:hAnsi="Calibri"/>
          <w:b w:val="1"/>
          <w:bCs w:val="1"/>
          <w:sz w:val="22"/>
          <w:szCs w:val="22"/>
          <w:highlight w:val="white"/>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Vidutinis darbo užmokestis apskaičiuojamas remiantis visą kalendorinį mėnesį įmonėje dirbusių darbuotojų atlyginimo duomenimis.</w:t>
      </w:r>
    </w:p>
    <w:p w:rsidR="00000000" w:rsidDel="00000000" w:rsidP="00000000" w:rsidRDefault="00000000" w:rsidRPr="00000000" w14:paraId="0000000A">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„Finansinis komandos narių saugumas visuomet buvo vienas svarbiausių mūsų prioritetų, todėl tam skiriame itin daug dėmesio. Lyderystę pagal darbuotojams mokamus atlyginimus išlaikome jau ne vienerius metus, ir tai rodo, kad mūsų pastangos duoda rezultatų. Ne tik siūlome didžiausią atlyginimą sektoriuje, bet ir taikome pakopinę darbo užmokesčio kėlimo sistemą, kuri parduotuvių ir logistikos centrų darbuotojams leidžia iš anksto žinoti, kaip ateityje keisis jų atlygis“, – sako „Lidl“ korporatyvinių reikalų vadovas Baltijos šalyse Antanas Bubnelis.</w:t>
      </w:r>
    </w:p>
    <w:p w:rsidR="00000000" w:rsidDel="00000000" w:rsidP="00000000" w:rsidRDefault="00000000" w:rsidRPr="00000000" w14:paraId="0000000C">
      <w:pPr>
        <w:spacing w:after="240" w:befor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Tarp didžiausių mokesčių mokėtojų Lietuvoje</w:t>
      </w:r>
    </w:p>
    <w:p w:rsidR="00000000" w:rsidDel="00000000" w:rsidP="00000000" w:rsidRDefault="00000000" w:rsidRPr="00000000" w14:paraId="0000000D">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 konkurencingo atlygio darbuotojams, „Lidl Lietuva“ reikšmingai prisideda ir prie valstybės biudžeto. Per pirmąjį šių metų pusmetį įmonė sumokėjo 80,6 mln. eurų mokesčių ir kitų įmokų bei užėmė 9-ąją vietą tarp didžiausių mokesčių mokėtojų Lietuvoje.</w:t>
      </w:r>
    </w:p>
    <w:p w:rsidR="00000000" w:rsidDel="00000000" w:rsidP="00000000" w:rsidRDefault="00000000" w:rsidRPr="00000000" w14:paraId="0000000E">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Palyginti su tuo pačiu laikotarpiu pernai, „Lidl Lietuva“ sumokėtų mokesčių ir įmokų suma išaugo 7,6 proc.</w:t>
      </w:r>
    </w:p>
    <w:p w:rsidR="00000000" w:rsidDel="00000000" w:rsidP="00000000" w:rsidRDefault="00000000" w:rsidRPr="00000000" w14:paraId="0000000F">
      <w:pPr>
        <w:spacing w:after="240" w:before="240" w:lineRule="auto"/>
        <w:jc w:val="both"/>
        <w:rPr>
          <w:rFonts w:ascii="Calibri" w:cs="Calibri" w:eastAsia="Calibri" w:hAnsi="Calibri"/>
          <w:color w:val="ff0000"/>
          <w:sz w:val="22"/>
          <w:szCs w:val="22"/>
        </w:rPr>
      </w:pPr>
      <w:r w:rsidDel="00000000" w:rsidR="00000000" w:rsidRPr="00000000">
        <w:rPr>
          <w:rFonts w:ascii="Calibri" w:cs="Calibri" w:eastAsia="Calibri" w:hAnsi="Calibri"/>
          <w:sz w:val="22"/>
          <w:szCs w:val="22"/>
          <w:rtl w:val="0"/>
        </w:rPr>
        <w:t xml:space="preserve">„Esame vienas didžiausių prekybos tinklų Lietuvoje, kasdien siūlantis savo klientams aukštos kokybės produktų už žemą kainą ir kartu užtikrinantis geras sąlygas savo darbuotojams. Sėkmingai augant verslui didėja ir mūsų sumokamų mokesčių suma, todėl džiugu, kad savo veikla galime reikšmingai prisidėti ir prie Lietuvos ekonomikos“, – akcentuoja A. Bubnelis.</w:t>
      </w:r>
      <w:r w:rsidDel="00000000" w:rsidR="00000000" w:rsidRPr="00000000">
        <w:rPr>
          <w:rtl w:val="0"/>
        </w:rPr>
      </w:r>
    </w:p>
    <w:p w:rsidR="00000000" w:rsidDel="00000000" w:rsidP="00000000" w:rsidRDefault="00000000" w:rsidRPr="00000000" w14:paraId="00000010">
      <w:pPr>
        <w:jc w:val="both"/>
        <w:rPr>
          <w:rFonts w:ascii="Calibri" w:cs="Calibri" w:eastAsia="Calibri" w:hAnsi="Calibri"/>
          <w:b w:val="1"/>
          <w:bCs w:val="1"/>
          <w:sz w:val="22"/>
          <w:szCs w:val="22"/>
          <w:highlight w:val="white"/>
        </w:rPr>
      </w:pPr>
      <w:r w:rsidDel="00000000" w:rsidR="00000000" w:rsidRPr="00000000">
        <w:rPr>
          <w:rFonts w:ascii="Calibri" w:cs="Calibri" w:eastAsia="Calibri" w:hAnsi="Calibri"/>
          <w:b w:val="1"/>
          <w:bCs w:val="1"/>
          <w:sz w:val="22"/>
          <w:szCs w:val="22"/>
          <w:highlight w:val="white"/>
          <w:rtl w:val="0"/>
        </w:rPr>
        <w:t xml:space="preserve">Papildomos motyvavimo priemonės</w:t>
      </w:r>
    </w:p>
    <w:p w:rsidR="00000000" w:rsidDel="00000000" w:rsidP="00000000" w:rsidRDefault="00000000" w:rsidRPr="00000000" w14:paraId="00000011">
      <w:pPr>
        <w:jc w:val="both"/>
        <w:rPr>
          <w:rFonts w:ascii="Calibri" w:cs="Calibri" w:eastAsia="Calibri" w:hAnsi="Calibri"/>
          <w:b w:val="1"/>
          <w:bCs w:val="1"/>
          <w:color w:val="ff0000"/>
          <w:sz w:val="22"/>
          <w:szCs w:val="22"/>
          <w:highlight w:val="white"/>
        </w:rPr>
      </w:pPr>
      <w:r w:rsidDel="00000000" w:rsidR="00000000" w:rsidRPr="00000000">
        <w:rPr>
          <w:rtl w:val="0"/>
        </w:rPr>
      </w:r>
    </w:p>
    <w:p w:rsidR="00000000" w:rsidDel="00000000" w:rsidP="00000000" w:rsidRDefault="00000000" w:rsidRPr="00000000" w14:paraId="00000012">
      <w:pPr>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rtl w:val="0"/>
        </w:rPr>
        <w:t xml:space="preserve">Rūpindamasi darbuotojų finansine gerove, bendrovė suteikia galimybių papildomai užsidirbti ir taiko įvairias skatinimo priemones. Logistikos centrų prekių komplektuotojai už pasiektus rezultatus gali gauti papildomas išmokas. Premijos skiriamos ir mobiliųjų parduotuvių darbuotojų komandos nariams, kurie prireikus padeda kolegoms kitose parduotuvėse.</w:t>
      </w:r>
      <w:r w:rsidDel="00000000" w:rsidR="00000000" w:rsidRPr="00000000">
        <w:rPr>
          <w:rtl w:val="0"/>
        </w:rPr>
      </w:r>
    </w:p>
    <w:p w:rsidR="00000000" w:rsidDel="00000000" w:rsidP="00000000" w:rsidRDefault="00000000" w:rsidRPr="00000000" w14:paraId="00000013">
      <w:pPr>
        <w:jc w:val="both"/>
        <w:rPr>
          <w:rFonts w:ascii="Calibri" w:cs="Calibri" w:eastAsia="Calibri" w:hAnsi="Calibri"/>
          <w:sz w:val="22"/>
          <w:szCs w:val="22"/>
          <w:highlight w:val="white"/>
        </w:rPr>
      </w:pPr>
      <w:r w:rsidDel="00000000" w:rsidR="00000000" w:rsidRPr="00000000">
        <w:rPr>
          <w:rtl w:val="0"/>
        </w:rPr>
      </w:r>
    </w:p>
    <w:p w:rsidR="00000000" w:rsidDel="00000000" w:rsidP="00000000" w:rsidRDefault="00000000" w:rsidRPr="00000000" w14:paraId="00000014">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Nepriklausomai nuo užimamų pareigų, kiekvienas „Lidl“ komandos narys skatinamas ugdyti profesines kompetencijas ir siekti karjeros. Pavyzdžiui, pardavėjo pozicijoje karjerą pradedantys darbuotojai gali tapti parduotuvės vadovo pavaduotojais, o vėliau – ir parduotuvės vadovais. Vadovaujamosios patirties neturintiems darbuotojams suteikiami išsamūs teoriniai ir praktiniai mokymai, padedantys įgyti reikiamų kompetencijų.</w:t>
      </w:r>
    </w:p>
    <w:p w:rsidR="00000000" w:rsidDel="00000000" w:rsidP="00000000" w:rsidRDefault="00000000" w:rsidRPr="00000000" w14:paraId="00000015">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6">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Prekybos tinklas rūpinasi ne tik darbuotojų finansiniu augimu ir karjeros galimybėmis, bet ir jų fizine bei emocine gerove. Visi darbuotojai, pasibaigus bandomajam laikotarpiui, apdraudžiami privačiu sveikatos draudimu, suteikiančiu galimybę konsultuotis su privačių ir valstybinių gydymo įstaigų gydytojais specialistais, pirkti vaistus ir maisto papildus bei naudotis kitomis sveikatinimo paslaugomis. Taip pat jiems ir jų vaikams iki 14 metų suteikiama galimybė nemokamai pasiskiepyti nuo gripo.</w:t>
      </w:r>
    </w:p>
    <w:p w:rsidR="00000000" w:rsidDel="00000000" w:rsidP="00000000" w:rsidRDefault="00000000" w:rsidRPr="00000000" w14:paraId="00000017">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8">
      <w:pPr>
        <w:jc w:val="both"/>
        <w:rPr>
          <w:rFonts w:ascii="Calibri" w:cs="Calibri" w:eastAsia="Calibri" w:hAnsi="Calibri"/>
          <w:color w:val="ff0000"/>
          <w:sz w:val="22"/>
          <w:szCs w:val="22"/>
        </w:rPr>
      </w:pPr>
      <w:r w:rsidDel="00000000" w:rsidR="00000000" w:rsidRPr="00000000">
        <w:rPr>
          <w:rFonts w:ascii="Calibri" w:cs="Calibri" w:eastAsia="Calibri" w:hAnsi="Calibri"/>
          <w:sz w:val="22"/>
          <w:szCs w:val="22"/>
          <w:rtl w:val="0"/>
        </w:rPr>
        <w:t xml:space="preserve">Įmonėje veikia ir speciali programa „Gali mumis pasikliauti!“, suteikianti galimybę visiems Lidl darbuotojams ir jų šeimos nariams anonimiškai konsultuotis su specialistais psichologiniais, teisiniais ar finansiniais klausimais.</w:t>
      </w:r>
      <w:r w:rsidDel="00000000" w:rsidR="00000000" w:rsidRPr="00000000">
        <w:rPr>
          <w:rtl w:val="0"/>
        </w:rPr>
      </w:r>
    </w:p>
    <w:p w:rsidR="00000000" w:rsidDel="00000000" w:rsidP="00000000" w:rsidRDefault="00000000" w:rsidRPr="00000000" w14:paraId="00000019">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Šiuo metu „Lidl Lietuva“ dirba daugiau nei 2,8 tūkst. darbuotojų. Iš viso Lietuvoje veikia 87  „Lidl“ parduotuvės 31 šalies mieste: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Raseiniuose, Molėtuose, Jurbarke ir Garliavoje. Šalyje taip pat veikia du „Lidl Lietuva“ logistikos centrai – vienas Kaune, Ramučiuose, o kitas Vilniuje, netoli Lentvario.</w:t>
      </w:r>
    </w:p>
    <w:p w:rsidR="00000000" w:rsidDel="00000000" w:rsidP="00000000" w:rsidRDefault="00000000" w:rsidRPr="00000000" w14:paraId="0000001A">
      <w:pP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Daugiau informacijos:</w:t>
      </w:r>
    </w:p>
    <w:p w:rsidR="00000000" w:rsidDel="00000000" w:rsidP="00000000" w:rsidRDefault="00000000" w:rsidRPr="00000000" w14:paraId="0000001B">
      <w:pPr>
        <w:shd w:fill="ffffff" w:val="clea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Ovidija Ferencienė</w:t>
      </w:r>
    </w:p>
    <w:p w:rsidR="00000000" w:rsidDel="00000000" w:rsidP="00000000" w:rsidRDefault="00000000" w:rsidRPr="00000000" w14:paraId="0000001C">
      <w:pPr>
        <w:shd w:fill="ffffff" w:val="clea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Korporatyvinės komunikacijos vadovė</w:t>
      </w:r>
    </w:p>
    <w:p w:rsidR="00000000" w:rsidDel="00000000" w:rsidP="00000000" w:rsidRDefault="00000000" w:rsidRPr="00000000" w14:paraId="0000001D">
      <w:pPr>
        <w:shd w:fill="ffffff" w:val="clea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UAB „Lidl Lietuva“</w:t>
      </w:r>
    </w:p>
    <w:p w:rsidR="00000000" w:rsidDel="00000000" w:rsidP="00000000" w:rsidRDefault="00000000" w:rsidRPr="00000000" w14:paraId="0000001E">
      <w:pPr>
        <w:shd w:fill="ffffff" w:val="clea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Mob. tel. +370 629 07870</w:t>
      </w:r>
    </w:p>
    <w:p w:rsidR="00000000" w:rsidDel="00000000" w:rsidP="00000000" w:rsidRDefault="00000000" w:rsidRPr="00000000" w14:paraId="0000001F">
      <w:pPr>
        <w:shd w:fill="ffffff" w:val="clear"/>
        <w:jc w:val="both"/>
        <w:rPr>
          <w:rFonts w:ascii="Calibri" w:cs="Calibri" w:eastAsia="Calibri" w:hAnsi="Calibri"/>
          <w:sz w:val="20"/>
          <w:szCs w:val="20"/>
        </w:rPr>
      </w:pPr>
      <w:hyperlink r:id="rId7">
        <w:r w:rsidDel="00000000" w:rsidR="00000000" w:rsidRPr="00000000">
          <w:rPr>
            <w:rFonts w:ascii="Calibri" w:cs="Calibri" w:eastAsia="Calibri" w:hAnsi="Calibri"/>
            <w:color w:val="1155cc"/>
            <w:sz w:val="18"/>
            <w:szCs w:val="18"/>
            <w:u w:val="single"/>
            <w:rtl w:val="0"/>
          </w:rPr>
          <w:t xml:space="preserve">ovidija.ferenciene@lidl.lt</w:t>
        </w:r>
      </w:hyperlink>
      <w:r w:rsidDel="00000000" w:rsidR="00000000" w:rsidRPr="00000000">
        <w:rPr>
          <w:rFonts w:ascii="Calibri" w:cs="Calibri" w:eastAsia="Calibri" w:hAnsi="Calibri"/>
          <w:sz w:val="18"/>
          <w:szCs w:val="18"/>
          <w:rtl w:val="0"/>
        </w:rPr>
        <w:t xml:space="preserve"> </w:t>
      </w:r>
      <w:r w:rsidDel="00000000" w:rsidR="00000000" w:rsidRPr="00000000">
        <w:rPr>
          <w:rtl w:val="0"/>
        </w:rPr>
      </w:r>
    </w:p>
    <w:sectPr>
      <w:headerReference r:id="rId8" w:type="default"/>
      <w:headerReference r:id="rId9" w:type="first"/>
      <w:headerReference r:id="rId10" w:type="even"/>
      <w:footerReference r:id="rId11" w:type="default"/>
      <w:footerReference r:id="rId12" w:type="first"/>
      <w:pgSz w:h="16840" w:w="11900" w:orient="portrait"/>
      <w:pgMar w:bottom="2552" w:top="720" w:left="720" w:right="720" w:header="425"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 w:name="News Gothic Bd BT Reg"/>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36"/>
        <w:tab w:val="right" w:leader="none" w:pos="9072"/>
      </w:tabs>
      <w:ind w:right="360"/>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-109525</wp:posOffset>
              </wp:positionH>
              <wp:positionV relativeFrom="paragraph">
                <wp:posOffset>-439724</wp:posOffset>
              </wp:positionV>
              <wp:extent cx="4387850" cy="768350"/>
              <wp:effectExtent b="0" l="0" r="0" t="0"/>
              <wp:wrapNone/>
              <wp:docPr id="95" name=""/>
              <a:graphic>
                <a:graphicData uri="http://schemas.microsoft.com/office/word/2010/wordprocessingShape">
                  <wps:wsp>
                    <wps:cNvSpPr/>
                    <wps:cNvPr id="3" name="Shape 3"/>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-109525</wp:posOffset>
              </wp:positionH>
              <wp:positionV relativeFrom="paragraph">
                <wp:posOffset>-439724</wp:posOffset>
              </wp:positionV>
              <wp:extent cx="4387850" cy="768350"/>
              <wp:effectExtent b="0" l="0" r="0" t="0"/>
              <wp:wrapNone/>
              <wp:docPr id="95"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387850" cy="76835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36"/>
        <w:tab w:val="right" w:leader="none" w:pos="9072"/>
        <w:tab w:val="left" w:leader="none" w:pos="8535"/>
      </w:tabs>
      <w:rPr>
        <w:color w:val="000000"/>
      </w:rPr>
    </w:pPr>
    <w:r w:rsidDel="00000000" w:rsidR="00000000" w:rsidRPr="00000000">
      <w:rPr>
        <w:color w:val="000000"/>
        <w:rtl w:val="0"/>
      </w:rPr>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-122225</wp:posOffset>
              </wp:positionH>
              <wp:positionV relativeFrom="paragraph">
                <wp:posOffset>-503224</wp:posOffset>
              </wp:positionV>
              <wp:extent cx="4387850" cy="768350"/>
              <wp:effectExtent b="0" l="0" r="0" t="0"/>
              <wp:wrapNone/>
              <wp:docPr id="94" name=""/>
              <a:graphic>
                <a:graphicData uri="http://schemas.microsoft.com/office/word/2010/wordprocessingShape">
                  <wps:wsp>
                    <wps:cNvSpPr/>
                    <wps:cNvPr id="2" name="Shape 2"/>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-122225</wp:posOffset>
              </wp:positionH>
              <wp:positionV relativeFrom="paragraph">
                <wp:posOffset>-503224</wp:posOffset>
              </wp:positionV>
              <wp:extent cx="4387850" cy="768350"/>
              <wp:effectExtent b="0" l="0" r="0" t="0"/>
              <wp:wrapNone/>
              <wp:docPr id="94"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387850" cy="76835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align>left</wp:align>
          </wp:positionH>
          <wp:positionV relativeFrom="page">
            <wp:posOffset>40640</wp:posOffset>
          </wp:positionV>
          <wp:extent cx="7559040" cy="10689336"/>
          <wp:effectExtent b="0" l="0" r="0" t="0"/>
          <wp:wrapNone/>
          <wp:docPr descr="Higru" id="96"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36"/>
        <w:tab w:val="right" w:leader="none" w:pos="9072"/>
      </w:tabs>
      <w:rPr>
        <w:color w:val="000000"/>
        <w:vertAlign w:val="subscript"/>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posOffset>0</wp:posOffset>
          </wp:positionH>
          <wp:positionV relativeFrom="page">
            <wp:posOffset>3937</wp:posOffset>
          </wp:positionV>
          <wp:extent cx="7559040" cy="10689336"/>
          <wp:effectExtent b="0" l="0" r="0" t="0"/>
          <wp:wrapNone/>
          <wp:docPr descr="Higru" id="97"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color w:val="000000"/>
        <w:vertAlign w:val="subscript"/>
        <w:rtl w:val="0"/>
      </w:rPr>
      <w:tab/>
      <w:tab/>
      <w:tab/>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rPr>
        <w:rFonts w:ascii="News Gothic Bd BT Reg" w:cs="News Gothic Bd BT Reg" w:eastAsia="News Gothic Bd BT Reg" w:hAnsi="News Gothic Bd BT Reg"/>
      </w:rPr>
    </w:pPr>
    <w:r w:rsidDel="00000000" w:rsidR="00000000" w:rsidRPr="00000000">
      <w:rPr>
        <w:rFonts w:ascii="News Gothic Bd BT Reg" w:cs="News Gothic Bd BT Reg" w:eastAsia="News Gothic Bd BT Reg" w:hAnsi="News Gothic Bd BT Reg"/>
        <w:rtl w:val="0"/>
      </w:rPr>
      <w:t xml:space="preserve">www.</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120" w:lineRule="auto"/>
      <w:jc w:val="both"/>
    </w:pPr>
    <w:rPr>
      <w:rFonts w:ascii="Arial" w:cs="Arial" w:eastAsia="Arial" w:hAnsi="Arial"/>
      <w:b w:val="1"/>
      <w:bCs w:val="1"/>
      <w:sz w:val="28"/>
      <w:szCs w:val="2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Numatytasispastraiposriftas" w:default="1">
    <w:name w:val="Default Paragraph Font"/>
    <w:uiPriority w:val="1"/>
    <w:semiHidden w:val="1"/>
    <w:unhideWhenUsed w:val="1"/>
  </w:style>
  <w:style w:type="table" w:styleId="prastojilentel" w:default="1">
    <w:name w:val="Normal Table"/>
    <w:uiPriority w:val="99"/>
    <w:semiHidden w:val="1"/>
    <w:unhideWhenUsed w:val="1"/>
    <w:tblPr>
      <w:tblInd w:w="0.0" w:type="dxa"/>
      <w:tblCellMar>
        <w:top w:w="0.0" w:type="dxa"/>
        <w:left w:w="108.0" w:type="dxa"/>
        <w:bottom w:w="0.0" w:type="dxa"/>
        <w:right w:w="108.0" w:type="dxa"/>
      </w:tblCellMar>
    </w:tblPr>
  </w:style>
  <w:style w:type="numbering" w:styleId="Sraonr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table" w:styleId="TableNormal3" w:customStyle="1">
    <w:name w:val="TableNormal"/>
    <w:tblPr>
      <w:tblCellMar>
        <w:top w:w="0.0" w:type="dxa"/>
        <w:left w:w="0.0" w:type="dxa"/>
        <w:bottom w:w="0.0" w:type="dxa"/>
        <w:right w:w="0.0" w:type="dxa"/>
      </w:tblCellMar>
    </w:tblPr>
  </w:style>
  <w:style w:type="table" w:styleId="TableNormal4" w:customStyle="1">
    <w:name w:val="TableNormal"/>
    <w:tblPr>
      <w:tblCellMar>
        <w:top w:w="0.0" w:type="dxa"/>
        <w:left w:w="0.0" w:type="dxa"/>
        <w:bottom w:w="0.0" w:type="dxa"/>
        <w:right w:w="0.0" w:type="dxa"/>
      </w:tblCellMar>
    </w:tblPr>
  </w:style>
  <w:style w:type="table" w:styleId="TableNormal5" w:customStyle="1">
    <w:name w:val="TableNormal"/>
    <w:tblPr>
      <w:tblCellMar>
        <w:top w:w="0.0" w:type="dxa"/>
        <w:left w:w="0.0" w:type="dxa"/>
        <w:bottom w:w="0.0" w:type="dxa"/>
        <w:right w:w="0.0" w:type="dxa"/>
      </w:tblCellMar>
    </w:tblPr>
  </w:style>
  <w:style w:type="paragraph" w:styleId="Antrats">
    <w:name w:val="header"/>
    <w:rsid w:val="00C827A1"/>
    <w:pPr>
      <w:tabs>
        <w:tab w:val="center" w:pos="4536"/>
        <w:tab w:val="right" w:pos="9072"/>
      </w:tabs>
    </w:pPr>
  </w:style>
  <w:style w:type="paragraph" w:styleId="Porat">
    <w:name w:val="footer"/>
    <w:semiHidden w:val="1"/>
    <w:rsid w:val="00C827A1"/>
    <w:pPr>
      <w:tabs>
        <w:tab w:val="center" w:pos="4536"/>
        <w:tab w:val="right" w:pos="9072"/>
      </w:tabs>
    </w:pPr>
  </w:style>
  <w:style w:type="paragraph" w:styleId="EinfacherAbsatz" w:customStyle="1">
    <w:name w:val="[Einfacher Absatz]"/>
    <w:rsid w:val="0088350E"/>
    <w:pPr>
      <w:widowControl w:val="0"/>
      <w:autoSpaceDE w:val="0"/>
      <w:autoSpaceDN w:val="0"/>
      <w:adjustRightInd w:val="0"/>
      <w:spacing w:line="288" w:lineRule="auto"/>
      <w:textAlignment w:val="center"/>
    </w:pPr>
    <w:rPr>
      <w:rFonts w:ascii="Times-Roman" w:hAnsi="Times-Roman"/>
      <w:color w:val="000000"/>
    </w:rPr>
  </w:style>
  <w:style w:type="character" w:styleId="Puslapionumeris">
    <w:name w:val="page number"/>
    <w:basedOn w:val="Numatytasispastraiposriftas"/>
    <w:rsid w:val="00BF3626"/>
  </w:style>
  <w:style w:type="character" w:styleId="Antrat1Diagrama" w:customStyle="1">
    <w:name w:val="Antraštė 1 Diagrama"/>
    <w:basedOn w:val="Numatytasispastraiposriftas"/>
    <w:uiPriority w:val="9"/>
    <w:rsid w:val="00C43D66"/>
    <w:rPr>
      <w:rFonts w:ascii="Arial" w:hAnsi="Arial"/>
      <w:b w:val="1"/>
      <w:sz w:val="28"/>
      <w:szCs w:val="28"/>
      <w:lang w:val="fr-FR"/>
    </w:rPr>
  </w:style>
  <w:style w:type="paragraph" w:styleId="Sraopastraipa">
    <w:name w:val="List Paragraph"/>
    <w:uiPriority w:val="34"/>
    <w:qFormat w:val="1"/>
    <w:rsid w:val="00B44AEE"/>
    <w:pPr>
      <w:ind w:left="720"/>
      <w:contextualSpacing w:val="1"/>
    </w:pPr>
  </w:style>
  <w:style w:type="character" w:styleId="Hipersaitas">
    <w:name w:val="Hyperlink"/>
    <w:basedOn w:val="Numatytasispastraiposriftas"/>
    <w:uiPriority w:val="99"/>
    <w:rsid w:val="008B7297"/>
    <w:rPr>
      <w:color w:val="0000ff" w:themeColor="hyperlink"/>
      <w:u w:val="single"/>
    </w:rPr>
  </w:style>
  <w:style w:type="paragraph" w:styleId="prastasiniatinklio">
    <w:name w:val="Normal (Web)"/>
    <w:uiPriority w:val="99"/>
    <w:rsid w:val="00AB5D5F"/>
    <w:pPr>
      <w:spacing w:after="100" w:afterAutospacing="1" w:before="100" w:beforeAutospacing="1"/>
    </w:pPr>
  </w:style>
  <w:style w:type="character" w:styleId="Komentaronuoroda">
    <w:name w:val="annotation reference"/>
    <w:basedOn w:val="Numatytasispastraiposriftas"/>
    <w:uiPriority w:val="99"/>
    <w:semiHidden w:val="1"/>
    <w:unhideWhenUsed w:val="1"/>
    <w:rsid w:val="000244F4"/>
    <w:rPr>
      <w:sz w:val="16"/>
      <w:szCs w:val="16"/>
    </w:rPr>
  </w:style>
  <w:style w:type="paragraph" w:styleId="Komentarotekstas">
    <w:name w:val="annotation text"/>
    <w:link w:val="KomentarotekstasDiagrama"/>
    <w:uiPriority w:val="99"/>
    <w:unhideWhenUsed w:val="1"/>
    <w:rsid w:val="000244F4"/>
    <w:rPr>
      <w:sz w:val="20"/>
      <w:szCs w:val="20"/>
    </w:rPr>
  </w:style>
  <w:style w:type="character" w:styleId="KomentarotekstasDiagrama" w:customStyle="1">
    <w:name w:val="Komentaro tekstas Diagrama"/>
    <w:basedOn w:val="Numatytasispastraiposriftas"/>
    <w:link w:val="Komentarotekstas"/>
    <w:uiPriority w:val="99"/>
    <w:rsid w:val="000244F4"/>
    <w:rPr>
      <w:sz w:val="20"/>
      <w:szCs w:val="20"/>
    </w:rPr>
  </w:style>
  <w:style w:type="paragraph" w:styleId="Komentarotema">
    <w:name w:val="annotation subject"/>
    <w:basedOn w:val="Komentarotekstas"/>
    <w:next w:val="Komentarotekstas"/>
    <w:link w:val="KomentarotemaDiagrama"/>
    <w:semiHidden w:val="1"/>
    <w:unhideWhenUsed w:val="1"/>
    <w:rsid w:val="000244F4"/>
    <w:rPr>
      <w:b w:val="1"/>
      <w:bCs w:val="1"/>
    </w:rPr>
  </w:style>
  <w:style w:type="character" w:styleId="KomentarotemaDiagrama" w:customStyle="1">
    <w:name w:val="Komentaro tema Diagrama"/>
    <w:basedOn w:val="KomentarotekstasDiagrama"/>
    <w:link w:val="Komentarotema"/>
    <w:semiHidden w:val="1"/>
    <w:rsid w:val="000244F4"/>
    <w:rPr>
      <w:b w:val="1"/>
      <w:bCs w:val="1"/>
      <w:sz w:val="20"/>
      <w:szCs w:val="20"/>
    </w:rPr>
  </w:style>
  <w:style w:type="paragraph" w:styleId="Debesliotekstas">
    <w:name w:val="Balloon Text"/>
    <w:link w:val="DebesliotekstasDiagrama"/>
    <w:semiHidden w:val="1"/>
    <w:unhideWhenUsed w:val="1"/>
    <w:rsid w:val="000244F4"/>
    <w:rPr>
      <w:rFonts w:ascii="Segoe UI" w:cs="Segoe UI" w:hAnsi="Segoe UI"/>
      <w:sz w:val="18"/>
      <w:szCs w:val="18"/>
    </w:rPr>
  </w:style>
  <w:style w:type="character" w:styleId="DebesliotekstasDiagrama" w:customStyle="1">
    <w:name w:val="Debesėlio tekstas Diagrama"/>
    <w:basedOn w:val="Numatytasispastraiposriftas"/>
    <w:link w:val="Debesliotekstas"/>
    <w:semiHidden w:val="1"/>
    <w:rsid w:val="000244F4"/>
    <w:rPr>
      <w:rFonts w:ascii="Segoe UI" w:cs="Segoe UI" w:hAnsi="Segoe UI"/>
      <w:sz w:val="18"/>
      <w:szCs w:val="18"/>
    </w:rPr>
  </w:style>
  <w:style w:type="paragraph" w:styleId="EinfAbs" w:customStyle="1">
    <w:name w:val="[Einf. Abs.]"/>
    <w:uiPriority w:val="99"/>
    <w:rsid w:val="003D7429"/>
    <w:pPr>
      <w:widowControl w:val="0"/>
      <w:autoSpaceDE w:val="0"/>
      <w:autoSpaceDN w:val="0"/>
      <w:adjustRightInd w:val="0"/>
      <w:spacing w:line="288" w:lineRule="auto"/>
      <w:textAlignment w:val="center"/>
    </w:pPr>
    <w:rPr>
      <w:rFonts w:ascii="MinionPro-Regular" w:cs="MinionPro-Regular" w:eastAsia="Calibri" w:hAnsi="MinionPro-Regular"/>
      <w:color w:val="000000"/>
      <w:lang w:eastAsia="en-US"/>
    </w:rPr>
  </w:style>
  <w:style w:type="character" w:styleId="Grietas">
    <w:name w:val="Strong"/>
    <w:basedOn w:val="Numatytasispastraiposriftas"/>
    <w:uiPriority w:val="22"/>
    <w:qFormat w:val="1"/>
    <w:rsid w:val="006911C8"/>
    <w:rPr>
      <w:b w:val="1"/>
      <w:bCs w:val="1"/>
    </w:rPr>
  </w:style>
  <w:style w:type="character" w:styleId="UnresolvedMention1" w:customStyle="1">
    <w:name w:val="Unresolved Mention1"/>
    <w:basedOn w:val="Numatytasispastraiposriftas"/>
    <w:uiPriority w:val="99"/>
    <w:semiHidden w:val="1"/>
    <w:unhideWhenUsed w:val="1"/>
    <w:rsid w:val="0018531F"/>
    <w:rPr>
      <w:color w:val="605e5c"/>
      <w:shd w:color="auto" w:fill="e1dfdd" w:val="clear"/>
    </w:rPr>
  </w:style>
  <w:style w:type="character" w:styleId="Emfaz">
    <w:name w:val="Emphasis"/>
    <w:basedOn w:val="Numatytasispastraiposriftas"/>
    <w:uiPriority w:val="20"/>
    <w:qFormat w:val="1"/>
    <w:rsid w:val="0005215F"/>
    <w:rPr>
      <w:i w:val="1"/>
      <w:iCs w:val="1"/>
    </w:rPr>
  </w:style>
  <w:style w:type="character" w:styleId="Antrat3Diagrama" w:customStyle="1">
    <w:name w:val="Antraštė 3 Diagrama"/>
    <w:basedOn w:val="Numatytasispastraiposriftas"/>
    <w:rsid w:val="005C3D4B"/>
    <w:rPr>
      <w:rFonts w:asciiTheme="majorHAnsi" w:cstheme="majorBidi" w:eastAsiaTheme="majorEastAsia" w:hAnsiTheme="majorHAnsi"/>
      <w:b w:val="1"/>
      <w:bCs w:val="1"/>
      <w:color w:val="4f81bd" w:themeColor="accent1"/>
    </w:rPr>
  </w:style>
  <w:style w:type="character" w:styleId="gd" w:customStyle="1">
    <w:name w:val="gd"/>
    <w:basedOn w:val="Numatytasispastraiposriftas"/>
    <w:rsid w:val="005C3D4B"/>
  </w:style>
  <w:style w:type="character" w:styleId="g3" w:customStyle="1">
    <w:name w:val="g3"/>
    <w:basedOn w:val="Numatytasispastraiposriftas"/>
    <w:rsid w:val="005C3D4B"/>
  </w:style>
  <w:style w:type="character" w:styleId="hb" w:customStyle="1">
    <w:name w:val="hb"/>
    <w:basedOn w:val="Numatytasispastraiposriftas"/>
    <w:rsid w:val="005C3D4B"/>
  </w:style>
  <w:style w:type="character" w:styleId="g2" w:customStyle="1">
    <w:name w:val="g2"/>
    <w:basedOn w:val="Numatytasispastraiposriftas"/>
    <w:rsid w:val="005C3D4B"/>
  </w:style>
  <w:style w:type="paragraph" w:styleId="Pataisymai">
    <w:name w:val="Revision"/>
    <w:hidden w:val="1"/>
    <w:semiHidden w:val="1"/>
    <w:rsid w:val="007A1458"/>
  </w:style>
  <w:style w:type="character" w:styleId="Neapdorotaspaminjimas">
    <w:name w:val="Unresolved Mention"/>
    <w:basedOn w:val="Numatytasispastraiposriftas"/>
    <w:uiPriority w:val="99"/>
    <w:semiHidden w:val="1"/>
    <w:unhideWhenUsed w:val="1"/>
    <w:rsid w:val="003C6276"/>
    <w:rPr>
      <w:color w:val="605e5c"/>
      <w:shd w:color="auto" w:fill="e1dfdd" w:val="clear"/>
    </w:rPr>
  </w:style>
  <w:style w:type="paragraph" w:styleId="xxxmsolistparagraph" w:customStyle="1">
    <w:name w:val="xxxmsolistparagraph"/>
    <w:rsid w:val="00B1467F"/>
    <w:pPr>
      <w:ind w:left="720"/>
    </w:pPr>
    <w:rPr>
      <w:rFonts w:ascii="Calibri" w:cs="Calibri" w:hAnsi="Calibri" w:eastAsiaTheme="minorHAnsi"/>
      <w:sz w:val="22"/>
      <w:szCs w:val="22"/>
    </w:rPr>
  </w:style>
  <w:style w:type="character" w:styleId="xxxgmaildefault" w:customStyle="1">
    <w:name w:val="xxxgmaildefault"/>
    <w:basedOn w:val="Numatytasispastraiposriftas"/>
    <w:rsid w:val="00B1467F"/>
  </w:style>
  <w:style w:type="paragraph" w:styleId="pf0" w:customStyle="1">
    <w:name w:val="pf0"/>
    <w:rsid w:val="00A060A7"/>
    <w:pPr>
      <w:spacing w:after="100" w:afterAutospacing="1" w:before="100" w:beforeAutospacing="1"/>
    </w:pPr>
    <w:rPr>
      <w:rFonts w:eastAsiaTheme="minorHAnsi"/>
    </w:rPr>
  </w:style>
  <w:style w:type="character" w:styleId="cf01" w:customStyle="1">
    <w:name w:val="cf01"/>
    <w:basedOn w:val="Numatytasispastraiposriftas"/>
    <w:rsid w:val="00A060A7"/>
    <w:rPr>
      <w:rFonts w:ascii="Segoe UI" w:cs="Segoe UI" w:hAnsi="Segoe UI" w:hint="default"/>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3.xml"/><Relationship Id="rId12" Type="http://schemas.openxmlformats.org/officeDocument/2006/relationships/footer" Target="footer2.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ovidija.ferenciene@lidl.lt"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5qz8OeMOAP0txX0t2NKmhpv2Rw==">CgMxLjA4AHIhMXJ3c1V0M25leTMwOFlGSFRsdmZnNS0yMGNzVS04Q29I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2025-11-04T12:09:00Z</dcterms:created>
  <dc:creator>Lidl Stiftung &amp; Co. KG</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767a8fb2464bb2d98a02501a62c8a026b44957ab338ba87abb4c5067d18cfe43</vt:lpwstr>
  </property>
</Properties>
</file>