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C3B22" w14:textId="3DC11A02" w:rsidR="00042B33" w:rsidRDefault="00042B33" w:rsidP="00042B33">
      <w:pPr>
        <w:jc w:val="center"/>
        <w:rPr>
          <w:b/>
          <w:bCs/>
        </w:rPr>
      </w:pPr>
      <w:r w:rsidRPr="00042B33">
        <w:rPr>
          <w:b/>
          <w:bCs/>
        </w:rPr>
        <w:t>Elektromobili</w:t>
      </w:r>
      <w:r>
        <w:rPr>
          <w:b/>
          <w:bCs/>
        </w:rPr>
        <w:t xml:space="preserve">ai </w:t>
      </w:r>
      <w:r w:rsidRPr="00042B33">
        <w:rPr>
          <w:b/>
          <w:bCs/>
        </w:rPr>
        <w:t>Lietuvoje: kodėl Neringoje jų 20 kartų daugiau nei Visagine?</w:t>
      </w:r>
    </w:p>
    <w:p w14:paraId="16233457" w14:textId="1822D1F1" w:rsidR="00DE0558" w:rsidRDefault="00DE0558" w:rsidP="003B5B4B">
      <w:pPr>
        <w:jc w:val="both"/>
      </w:pPr>
      <w:r w:rsidRPr="00DE0558">
        <w:t>Nuvažiavus nuo Neringos iki Visagino, elektromobilių dalis vietiniame automobilių parke sumažėja beveik dvidešimt kartų – nuo 5,15 iki 0,27 proc.</w:t>
      </w:r>
      <w:r>
        <w:t xml:space="preserve"> </w:t>
      </w:r>
      <w:r w:rsidR="004E76AA" w:rsidRPr="004E76AA">
        <w:t>Pažvelgus į savivaldybių statistiką</w:t>
      </w:r>
      <w:r w:rsidR="00C01BCE">
        <w:t>,</w:t>
      </w:r>
      <w:r w:rsidR="004E76AA" w:rsidRPr="004E76AA">
        <w:t xml:space="preserve"> matyti aiški tendencija: elektromobiliai gerokai dažnesni ten, kur gyventojų pajamos didesnės</w:t>
      </w:r>
      <w:r>
        <w:t>.</w:t>
      </w:r>
    </w:p>
    <w:p w14:paraId="6126B2AD" w14:textId="06BE41AD" w:rsidR="006F4106" w:rsidRDefault="006F4106" w:rsidP="003B5B4B">
      <w:pPr>
        <w:jc w:val="both"/>
      </w:pPr>
      <w:r>
        <w:t>T</w:t>
      </w:r>
      <w:r w:rsidRPr="006F4106">
        <w:t xml:space="preserve">ai </w:t>
      </w:r>
      <w:r w:rsidR="00D91AC1">
        <w:t xml:space="preserve">išryškina vieną </w:t>
      </w:r>
      <w:r w:rsidR="00B6386A">
        <w:t>pagrindinių</w:t>
      </w:r>
      <w:r w:rsidR="00D91AC1">
        <w:t xml:space="preserve"> barjerų</w:t>
      </w:r>
      <w:r w:rsidR="00C01BCE">
        <w:t>:</w:t>
      </w:r>
      <w:r w:rsidRPr="006F4106">
        <w:t xml:space="preserve"> kol elektromobilio įsigijimas </w:t>
      </w:r>
      <w:r>
        <w:t xml:space="preserve">reikalauja </w:t>
      </w:r>
      <w:r w:rsidRPr="006F4106">
        <w:t>nemažos pradinės investicijos, perėjimas prie elektrinio transporto nėra vienodai lengvas visiems šalies gyventojams.</w:t>
      </w:r>
    </w:p>
    <w:p w14:paraId="1A43A85C" w14:textId="54C57A04" w:rsidR="00A15BC9" w:rsidRPr="00A15BC9" w:rsidRDefault="003C2788" w:rsidP="003B5B4B">
      <w:pPr>
        <w:jc w:val="both"/>
      </w:pPr>
      <w:r>
        <w:t xml:space="preserve">Pagal </w:t>
      </w:r>
      <w:r w:rsidR="00A15BC9" w:rsidRPr="00A15BC9">
        <w:t>2026 m. birželio „Sodros“ atvir</w:t>
      </w:r>
      <w:r>
        <w:t>uosius</w:t>
      </w:r>
      <w:r w:rsidR="00A15BC9" w:rsidRPr="00A15BC9">
        <w:t xml:space="preserve"> duomen</w:t>
      </w:r>
      <w:r>
        <w:t>is</w:t>
      </w:r>
      <w:r w:rsidR="00A15BC9" w:rsidRPr="00A15BC9">
        <w:t xml:space="preserve"> sudarytame savivaldybių reitinge didžiausios vidutinės apdraustųjų pajamos buvo Neringoje – 3</w:t>
      </w:r>
      <w:r w:rsidR="00435696">
        <w:t xml:space="preserve"> </w:t>
      </w:r>
      <w:r w:rsidR="00A15BC9" w:rsidRPr="00A15BC9">
        <w:t xml:space="preserve">587 Eur prieš mokesčius. Toliau rikiavosi Vilniaus miestas </w:t>
      </w:r>
      <w:r>
        <w:t>–</w:t>
      </w:r>
      <w:r w:rsidR="00A15BC9" w:rsidRPr="00A15BC9">
        <w:t xml:space="preserve"> 2</w:t>
      </w:r>
      <w:r w:rsidR="00435696">
        <w:t xml:space="preserve"> </w:t>
      </w:r>
      <w:r w:rsidR="00A15BC9" w:rsidRPr="00A15BC9">
        <w:t>970 Eur, Vilniaus rajonas – 2</w:t>
      </w:r>
      <w:r w:rsidR="00435696">
        <w:t xml:space="preserve"> </w:t>
      </w:r>
      <w:r w:rsidR="00A15BC9" w:rsidRPr="00A15BC9">
        <w:t>619 Eur, Kauno miestas – 2</w:t>
      </w:r>
      <w:r w:rsidR="00435696">
        <w:t xml:space="preserve"> </w:t>
      </w:r>
      <w:r w:rsidR="00A15BC9" w:rsidRPr="00A15BC9">
        <w:t>600 Eur ir Kauno rajonas – 2</w:t>
      </w:r>
      <w:r w:rsidR="00435696">
        <w:t xml:space="preserve"> </w:t>
      </w:r>
      <w:r w:rsidR="00A15BC9" w:rsidRPr="00A15BC9">
        <w:t>566 Eur.</w:t>
      </w:r>
    </w:p>
    <w:p w14:paraId="309E7FE1" w14:textId="49ED6DDF" w:rsidR="00A15BC9" w:rsidRPr="00A15BC9" w:rsidRDefault="00B6386A" w:rsidP="003B5B4B">
      <w:pPr>
        <w:jc w:val="both"/>
      </w:pPr>
      <w:r>
        <w:t xml:space="preserve">Automobilių prekybininkų </w:t>
      </w:r>
      <w:r w:rsidR="00747E41">
        <w:t xml:space="preserve">„Wheelstreet“ surinkti duomenys rodo, kad </w:t>
      </w:r>
      <w:r w:rsidR="00042B33">
        <w:t>šios p</w:t>
      </w:r>
      <w:r w:rsidR="00042B33" w:rsidRPr="00042B33">
        <w:t>enkios didžiausias vidutines pajamas turinčios Lietuvos savivaldybės išsiskiria ir</w:t>
      </w:r>
      <w:r w:rsidR="00042B33">
        <w:t xml:space="preserve"> gerokai</w:t>
      </w:r>
      <w:r w:rsidR="00042B33" w:rsidRPr="00042B33">
        <w:t xml:space="preserve"> didesne elektromobilių dalimi. Visose jose </w:t>
      </w:r>
      <w:r w:rsidR="003C2788">
        <w:t>ši dalis</w:t>
      </w:r>
      <w:r w:rsidR="00042B33" w:rsidRPr="00042B33">
        <w:t xml:space="preserve"> viršija 1,82 proc. šalies vidurkį, o Neringoje siekia net 5,15 procento.</w:t>
      </w:r>
    </w:p>
    <w:p w14:paraId="4B9CA5E4" w14:textId="40D5B702" w:rsidR="00A15BC9" w:rsidRPr="00A15BC9" w:rsidRDefault="00DE0558" w:rsidP="003B5B4B">
      <w:pPr>
        <w:jc w:val="both"/>
        <w:rPr>
          <w:b/>
          <w:bCs/>
        </w:rPr>
      </w:pPr>
      <w:r>
        <w:rPr>
          <w:b/>
          <w:bCs/>
        </w:rPr>
        <w:t>1,6 karto</w:t>
      </w:r>
      <w:r w:rsidR="00A15BC9" w:rsidRPr="00A15BC9">
        <w:rPr>
          <w:b/>
          <w:bCs/>
        </w:rPr>
        <w:t xml:space="preserve"> didesnės pajamos – beveik septynis kartus daugiau elektromobilių</w:t>
      </w:r>
    </w:p>
    <w:p w14:paraId="75301AA9" w14:textId="47A30308" w:rsidR="006F4106" w:rsidRDefault="006F4106" w:rsidP="003B5B4B">
      <w:pPr>
        <w:jc w:val="both"/>
      </w:pPr>
      <w:r w:rsidRPr="006F4106">
        <w:t>Dar ryškesnis skirtumas matomas palyginus Vilnių ir Kalvariją. 2026 m. birželį vidutinės apdraustųjų pajamos Vilniaus mieste siekė 2</w:t>
      </w:r>
      <w:r w:rsidR="00435696">
        <w:t xml:space="preserve"> </w:t>
      </w:r>
      <w:r w:rsidRPr="006F4106">
        <w:t xml:space="preserve">970 Eur, o </w:t>
      </w:r>
      <w:r w:rsidR="00DE105B" w:rsidRPr="006F4106">
        <w:t xml:space="preserve">Kalvarijoje </w:t>
      </w:r>
      <w:r w:rsidR="00DE105B">
        <w:t xml:space="preserve">jos </w:t>
      </w:r>
      <w:r w:rsidRPr="006F4106">
        <w:t>mažiausi</w:t>
      </w:r>
      <w:r w:rsidR="00DE105B">
        <w:t>o</w:t>
      </w:r>
      <w:r w:rsidRPr="006F4106">
        <w:t>s iš visų savivaldybių</w:t>
      </w:r>
      <w:r w:rsidR="00DE105B">
        <w:t xml:space="preserve"> </w:t>
      </w:r>
      <w:r w:rsidRPr="006F4106">
        <w:t>– 1</w:t>
      </w:r>
      <w:r w:rsidR="00435696">
        <w:t xml:space="preserve"> </w:t>
      </w:r>
      <w:r w:rsidRPr="006F4106">
        <w:t>871 Eur. Taigi</w:t>
      </w:r>
      <w:r>
        <w:t>,</w:t>
      </w:r>
      <w:r w:rsidRPr="006F4106">
        <w:t xml:space="preserve"> sostinėje jos buvo maždaug 59 proc. didesnės</w:t>
      </w:r>
      <w:r>
        <w:t>, t</w:t>
      </w:r>
      <w:r w:rsidRPr="006F4106">
        <w:t>ačiau elektromobilių dalis skiriasi beveik septynis kartus: Vilniuje ji siekia 3,48 proc., Kalvarijoje – vos 0,52 procento.</w:t>
      </w:r>
    </w:p>
    <w:p w14:paraId="7CDEFABF" w14:textId="5493C87B" w:rsidR="00A15BC9" w:rsidRDefault="00A15BC9" w:rsidP="003B5B4B">
      <w:pPr>
        <w:jc w:val="both"/>
      </w:pPr>
      <w:r w:rsidRPr="00A15BC9">
        <w:t>„Žmogus, turintis didesnes pajamas, gali vertinti ne tik automobilio kainą šiandien, bet ir tai, kiek kainuos</w:t>
      </w:r>
      <w:r w:rsidR="00D91AC1">
        <w:t xml:space="preserve"> </w:t>
      </w:r>
      <w:r w:rsidR="00DE0558">
        <w:t>tokią transporto priemonę</w:t>
      </w:r>
      <w:r w:rsidR="00D91AC1">
        <w:t xml:space="preserve"> krauti ir</w:t>
      </w:r>
      <w:r w:rsidRPr="00A15BC9">
        <w:t xml:space="preserve"> eksploatuoti per penkerius ar dešimt metų. Mažesnes pajamas gaunančiam pirkėjui kelių tūkstančių eurų skirtumas pirkimo metu dažnai nusveria būsimą sutaupymą </w:t>
      </w:r>
      <w:r w:rsidR="00DE105B">
        <w:t xml:space="preserve">dėl mažesnių </w:t>
      </w:r>
      <w:r w:rsidRPr="00A15BC9">
        <w:t>elektr</w:t>
      </w:r>
      <w:r w:rsidR="00DE105B">
        <w:t>os</w:t>
      </w:r>
      <w:r w:rsidRPr="00A15BC9">
        <w:t xml:space="preserve"> </w:t>
      </w:r>
      <w:r w:rsidR="00DE105B">
        <w:t xml:space="preserve">energijos </w:t>
      </w:r>
      <w:r w:rsidRPr="00A15BC9">
        <w:t>ar priežiūr</w:t>
      </w:r>
      <w:r w:rsidR="00DE105B">
        <w:t>os išlaidų</w:t>
      </w:r>
      <w:r w:rsidRPr="00A15BC9">
        <w:t>“, – sako</w:t>
      </w:r>
      <w:r w:rsidR="00DE0558">
        <w:t xml:space="preserve"> krovimo sprendimų įmonės</w:t>
      </w:r>
      <w:r w:rsidRPr="00A15BC9">
        <w:t xml:space="preserve"> „Evioni“ </w:t>
      </w:r>
      <w:r w:rsidR="00DE0558">
        <w:t>vadovas</w:t>
      </w:r>
      <w:r w:rsidRPr="00A15BC9">
        <w:t xml:space="preserve"> Ignas Petrikonis.</w:t>
      </w:r>
    </w:p>
    <w:p w14:paraId="0CEC1F4C" w14:textId="2A57431A" w:rsidR="006F4106" w:rsidRDefault="00B6386A" w:rsidP="003B5B4B">
      <w:pPr>
        <w:jc w:val="both"/>
      </w:pPr>
      <w:r w:rsidRPr="00B6386A">
        <w:t>Tai leidžia manyti, kad vien elektromobilių kainų mažėjimas regioninio atotrūkio greitai nepanaikins</w:t>
      </w:r>
      <w:r w:rsidR="006F4106" w:rsidRPr="006F4106">
        <w:t xml:space="preserve">. </w:t>
      </w:r>
      <w:r w:rsidR="00D91AC1" w:rsidRPr="00D91AC1">
        <w:t>Kita vertus, finansinės paskatos turi būti sukurtos taip, kad jomis realiai galėtų pasinaudoti tie gyventojai, kuriems kainos skirtumas yra didžiausia kliūtis</w:t>
      </w:r>
      <w:r w:rsidR="00D91AC1">
        <w:t>.</w:t>
      </w:r>
    </w:p>
    <w:p w14:paraId="1D5DF98A" w14:textId="046F5EEE" w:rsidR="00D91AC1" w:rsidRDefault="00D91AC1" w:rsidP="003B5B4B">
      <w:pPr>
        <w:jc w:val="both"/>
      </w:pPr>
      <w:r w:rsidRPr="00D91AC1">
        <w:t xml:space="preserve">Nuo 2027 m. </w:t>
      </w:r>
      <w:r w:rsidR="00B6386A" w:rsidRPr="00B6386A">
        <w:t>daliai mažesnes pajamas gaunančių regionų gyventojų planuojama kompensuoti</w:t>
      </w:r>
      <w:r w:rsidRPr="00D91AC1">
        <w:t xml:space="preserve"> iki 90 proc. elektromobilio kainos</w:t>
      </w:r>
      <w:r w:rsidR="004705B8">
        <w:t>:</w:t>
      </w:r>
      <w:r w:rsidRPr="00D91AC1">
        <w:t xml:space="preserve"> iki 20 tūkst. </w:t>
      </w:r>
      <w:r w:rsidR="00435696">
        <w:t>eurų</w:t>
      </w:r>
      <w:r w:rsidR="00435696" w:rsidRPr="00D91AC1">
        <w:t xml:space="preserve"> </w:t>
      </w:r>
      <w:r w:rsidRPr="00D91AC1">
        <w:t xml:space="preserve">perkant naują ir iki 12 tūkst. </w:t>
      </w:r>
      <w:r w:rsidR="00435696">
        <w:t>eurų</w:t>
      </w:r>
      <w:r w:rsidR="00435696" w:rsidRPr="00D91AC1">
        <w:t xml:space="preserve"> </w:t>
      </w:r>
      <w:r w:rsidRPr="00D91AC1">
        <w:t xml:space="preserve">perkant naudotą automobilį. Tačiau </w:t>
      </w:r>
      <w:r>
        <w:t>verslininkas ir investuotojas Mindaugas Busila</w:t>
      </w:r>
      <w:r w:rsidRPr="00D91AC1">
        <w:t xml:space="preserve"> atkreipia dėmesį, kad</w:t>
      </w:r>
      <w:r w:rsidR="00435696">
        <w:t>,</w:t>
      </w:r>
      <w:r w:rsidRPr="00D91AC1">
        <w:t xml:space="preserve"> net ir gavus tokią paramą</w:t>
      </w:r>
      <w:r w:rsidR="00435696">
        <w:t>,</w:t>
      </w:r>
      <w:r w:rsidRPr="00D91AC1">
        <w:t xml:space="preserve"> žmogui gali </w:t>
      </w:r>
      <w:r w:rsidR="00435696">
        <w:t>prireikti</w:t>
      </w:r>
      <w:r w:rsidR="00435696" w:rsidRPr="00D91AC1">
        <w:t xml:space="preserve"> </w:t>
      </w:r>
      <w:r w:rsidRPr="00D91AC1">
        <w:t>nuosavų lėšų automobiliui įsigyti ir išlaikyti.</w:t>
      </w:r>
    </w:p>
    <w:p w14:paraId="66FC91E3" w14:textId="293D8223" w:rsidR="00D91AC1" w:rsidRPr="00A15BC9" w:rsidRDefault="00D91AC1" w:rsidP="003B5B4B">
      <w:pPr>
        <w:jc w:val="both"/>
      </w:pPr>
      <w:r w:rsidRPr="00D91AC1">
        <w:t>„</w:t>
      </w:r>
      <w:r>
        <w:t>Padėti</w:t>
      </w:r>
      <w:r w:rsidRPr="00D91AC1">
        <w:t xml:space="preserve"> regionų šeimoms reikia. </w:t>
      </w:r>
      <w:r w:rsidR="00435696">
        <w:t>Tačiau</w:t>
      </w:r>
      <w:r w:rsidRPr="00D91AC1">
        <w:t xml:space="preserve"> valstybė ieško žmogaus, kuris būtų pakankamai neturtingas</w:t>
      </w:r>
      <w:r w:rsidR="004705B8">
        <w:t>, kad gautų</w:t>
      </w:r>
      <w:r w:rsidRPr="00D91AC1">
        <w:t xml:space="preserve"> param</w:t>
      </w:r>
      <w:r w:rsidR="004705B8">
        <w:t>ą</w:t>
      </w:r>
      <w:r w:rsidRPr="00D91AC1">
        <w:t>, pakankamai pasiturintis primokėti, pakankamai mokus lizingui ir pajėgus penkerius metus išlaikyti elektromobilį“, – teigia M. Busila.</w:t>
      </w:r>
    </w:p>
    <w:p w14:paraId="68D55072" w14:textId="336BCAD9" w:rsidR="0048644F" w:rsidRDefault="0048644F" w:rsidP="003B5B4B">
      <w:pPr>
        <w:jc w:val="both"/>
        <w:rPr>
          <w:b/>
          <w:bCs/>
        </w:rPr>
      </w:pPr>
      <w:r w:rsidRPr="0048644F">
        <w:rPr>
          <w:b/>
          <w:bCs/>
        </w:rPr>
        <w:t>Įmonių auto</w:t>
      </w:r>
      <w:r w:rsidR="004705B8">
        <w:rPr>
          <w:b/>
          <w:bCs/>
        </w:rPr>
        <w:t xml:space="preserve">mobilių </w:t>
      </w:r>
      <w:r w:rsidRPr="0048644F">
        <w:rPr>
          <w:b/>
          <w:bCs/>
        </w:rPr>
        <w:t>parkuose elektromobilių dalis – keturis kartus didesnė</w:t>
      </w:r>
    </w:p>
    <w:p w14:paraId="5458986F" w14:textId="000E3B64" w:rsidR="00A15BC9" w:rsidRDefault="004E76AA" w:rsidP="003B5B4B">
      <w:pPr>
        <w:jc w:val="both"/>
      </w:pPr>
      <w:r w:rsidRPr="004E76AA">
        <w:t xml:space="preserve">Kad elektromobilių pasirinkimą stipriai lemia </w:t>
      </w:r>
      <w:r w:rsidR="0048644F">
        <w:t>ne tik technologinės, bet ir finansinės sąlygos</w:t>
      </w:r>
      <w:r w:rsidRPr="004E76AA">
        <w:t>, parodo ir įmonių auto</w:t>
      </w:r>
      <w:r w:rsidR="00435696">
        <w:t xml:space="preserve">mobilių </w:t>
      </w:r>
      <w:r w:rsidRPr="004E76AA">
        <w:t>parkai</w:t>
      </w:r>
      <w:r w:rsidR="00A15BC9" w:rsidRPr="00A15BC9">
        <w:t xml:space="preserve">. Įmonės valdo tik apie 12 proc. visų Lietuvos lengvųjų automobilių, tačiau joms priklauso net 37 proc. elektromobilių. </w:t>
      </w:r>
    </w:p>
    <w:p w14:paraId="75A63997" w14:textId="0128EEF9" w:rsidR="00B6386A" w:rsidRDefault="00DE105B" w:rsidP="003B5B4B">
      <w:pPr>
        <w:jc w:val="both"/>
      </w:pPr>
      <w:r>
        <w:lastRenderedPageBreak/>
        <w:t>T</w:t>
      </w:r>
      <w:r w:rsidR="00B6386A" w:rsidRPr="00B6386A">
        <w:t>ok</w:t>
      </w:r>
      <w:r>
        <w:t>į</w:t>
      </w:r>
      <w:r w:rsidR="00B6386A" w:rsidRPr="00B6386A">
        <w:t xml:space="preserve"> skirtum</w:t>
      </w:r>
      <w:r>
        <w:t>ą</w:t>
      </w:r>
      <w:r w:rsidR="00B6386A" w:rsidRPr="00B6386A">
        <w:t xml:space="preserve"> </w:t>
      </w:r>
      <w:r>
        <w:t>lemia</w:t>
      </w:r>
      <w:r w:rsidRPr="00B6386A">
        <w:t xml:space="preserve"> </w:t>
      </w:r>
      <w:r w:rsidR="00B6386A" w:rsidRPr="00B6386A">
        <w:t xml:space="preserve">ir įmonėms taikomos finansinės paskatos, galimybė tam tikrais atvejais pasinaudoti PVM atskaita, taip pat didesnės galimybės investuoti į nuosavą </w:t>
      </w:r>
      <w:r w:rsidR="004705B8">
        <w:t>į</w:t>
      </w:r>
      <w:r w:rsidR="00B6386A" w:rsidRPr="00B6386A">
        <w:t>krovimo infrastruktūrą</w:t>
      </w:r>
      <w:r w:rsidR="00B6386A">
        <w:t>.</w:t>
      </w:r>
    </w:p>
    <w:p w14:paraId="65DCAC4B" w14:textId="5CDF17F0" w:rsidR="00A15BC9" w:rsidRPr="00A15BC9" w:rsidRDefault="00A15BC9" w:rsidP="003B5B4B">
      <w:pPr>
        <w:jc w:val="both"/>
      </w:pPr>
      <w:r w:rsidRPr="00A15BC9">
        <w:t>Tai svarbu ir vertinant regioninius skirtumus: 55 proc. įmonėms priklausančių elektromobilių registruoti Vilniaus apskrityje. Taigi elektromobiliai koncentruojasi ne tik ten, kur daugiau uždirba gyventojai, bet ir ten, kur sutelkta daugiau ekonomiškai stiprių įmonių.</w:t>
      </w:r>
    </w:p>
    <w:p w14:paraId="5DCAAE82" w14:textId="16DBA33B" w:rsidR="00A15BC9" w:rsidRPr="00A15BC9" w:rsidRDefault="00A15BC9" w:rsidP="003B5B4B">
      <w:pPr>
        <w:jc w:val="both"/>
      </w:pPr>
      <w:r w:rsidRPr="00A15BC9">
        <w:t>Vis dėlto pajamos nėra vienintelis veiksnys. Tai gerai parodo Visaginas, kuriame elektromobili</w:t>
      </w:r>
      <w:r w:rsidR="00DE105B">
        <w:t>ų</w:t>
      </w:r>
      <w:r w:rsidRPr="00A15BC9">
        <w:t xml:space="preserve"> </w:t>
      </w:r>
      <w:r w:rsidR="00DE105B">
        <w:t xml:space="preserve">dalis yra </w:t>
      </w:r>
      <w:r w:rsidRPr="00A15BC9">
        <w:t>mažiausi</w:t>
      </w:r>
      <w:r w:rsidR="00DE105B">
        <w:t>a</w:t>
      </w:r>
      <w:r w:rsidRPr="00A15BC9">
        <w:t xml:space="preserve"> Lietuvoje – vos 0,27 proc., nors pagal pajamas savivaldybė nėra paskutinė. Pasirinkimui įtakos turi ir automobilių parko amžius, būsto tipas, galimybė įsirengti nuosavą įkrovimo prieigą, įmonių koncentracija bei vietos gyventojų poreikiai.</w:t>
      </w:r>
    </w:p>
    <w:p w14:paraId="43959555" w14:textId="045471D4" w:rsidR="00A15BC9" w:rsidRPr="00A15BC9" w:rsidRDefault="00A15BC9" w:rsidP="003B5B4B">
      <w:pPr>
        <w:jc w:val="both"/>
      </w:pPr>
      <w:r w:rsidRPr="00A15BC9">
        <w:t>„</w:t>
      </w:r>
      <w:r w:rsidR="00B6386A" w:rsidRPr="00B6386A">
        <w:t>Jeigu norime, kad elektromobiliai nebesikoncentruotų tik didžiausias pajamas turinčiuose regionuose, reikia mažinti pradinį kainos barjerą. Tam gali padėti ir tikslinės paramos priemonės, tačiau ilgainiui svarbiausias lūžis įvyks tuomet, kai gerokai išaugs 10–15 tūkst. eurų kainuojančių naudotų elektromobilių pasiūla</w:t>
      </w:r>
      <w:r w:rsidRPr="00A15BC9">
        <w:t xml:space="preserve">“, – </w:t>
      </w:r>
      <w:r w:rsidR="00B6386A">
        <w:t>apibendrina</w:t>
      </w:r>
      <w:r w:rsidRPr="00A15BC9">
        <w:t xml:space="preserve"> I. Petrikonis.</w:t>
      </w:r>
    </w:p>
    <w:p w14:paraId="7BDC25E9" w14:textId="77777777" w:rsidR="00FB00C8" w:rsidRDefault="00FB00C8"/>
    <w:sectPr w:rsidR="00FB00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BC9"/>
    <w:rsid w:val="00042B33"/>
    <w:rsid w:val="003B5B4B"/>
    <w:rsid w:val="003C2788"/>
    <w:rsid w:val="00435696"/>
    <w:rsid w:val="004705B8"/>
    <w:rsid w:val="0048466A"/>
    <w:rsid w:val="0048644F"/>
    <w:rsid w:val="004E76AA"/>
    <w:rsid w:val="006F4106"/>
    <w:rsid w:val="00747E41"/>
    <w:rsid w:val="00991F6D"/>
    <w:rsid w:val="00A15BC9"/>
    <w:rsid w:val="00A66476"/>
    <w:rsid w:val="00AB76E4"/>
    <w:rsid w:val="00B57906"/>
    <w:rsid w:val="00B6386A"/>
    <w:rsid w:val="00C01BCE"/>
    <w:rsid w:val="00D36239"/>
    <w:rsid w:val="00D91AC1"/>
    <w:rsid w:val="00DE0558"/>
    <w:rsid w:val="00DE105B"/>
    <w:rsid w:val="00FB00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22CB8"/>
  <w15:docId w15:val="{FB09E046-A7C7-4CD6-AD79-67D405B7F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A15BC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15BC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15BC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15BC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15BC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15B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5B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5B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5B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5BC9"/>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A15BC9"/>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A15BC9"/>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A15BC9"/>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A15BC9"/>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A15BC9"/>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A15BC9"/>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A15BC9"/>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A15BC9"/>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A15B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5BC9"/>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A15B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5BC9"/>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A15BC9"/>
    <w:pPr>
      <w:spacing w:before="160"/>
      <w:jc w:val="center"/>
    </w:pPr>
    <w:rPr>
      <w:i/>
      <w:iCs/>
      <w:color w:val="404040" w:themeColor="text1" w:themeTint="BF"/>
    </w:rPr>
  </w:style>
  <w:style w:type="character" w:customStyle="1" w:styleId="QuoteChar">
    <w:name w:val="Quote Char"/>
    <w:basedOn w:val="DefaultParagraphFont"/>
    <w:link w:val="Quote"/>
    <w:uiPriority w:val="29"/>
    <w:rsid w:val="00A15BC9"/>
    <w:rPr>
      <w:i/>
      <w:iCs/>
      <w:color w:val="404040" w:themeColor="text1" w:themeTint="BF"/>
      <w:lang w:val="lt-LT"/>
    </w:rPr>
  </w:style>
  <w:style w:type="paragraph" w:styleId="ListParagraph">
    <w:name w:val="List Paragraph"/>
    <w:basedOn w:val="Normal"/>
    <w:uiPriority w:val="34"/>
    <w:qFormat/>
    <w:rsid w:val="00A15BC9"/>
    <w:pPr>
      <w:ind w:left="720"/>
      <w:contextualSpacing/>
    </w:pPr>
  </w:style>
  <w:style w:type="character" w:styleId="IntenseEmphasis">
    <w:name w:val="Intense Emphasis"/>
    <w:basedOn w:val="DefaultParagraphFont"/>
    <w:uiPriority w:val="21"/>
    <w:qFormat/>
    <w:rsid w:val="00A15BC9"/>
    <w:rPr>
      <w:i/>
      <w:iCs/>
      <w:color w:val="2F5496" w:themeColor="accent1" w:themeShade="BF"/>
    </w:rPr>
  </w:style>
  <w:style w:type="paragraph" w:styleId="IntenseQuote">
    <w:name w:val="Intense Quote"/>
    <w:basedOn w:val="Normal"/>
    <w:next w:val="Normal"/>
    <w:link w:val="IntenseQuoteChar"/>
    <w:uiPriority w:val="30"/>
    <w:qFormat/>
    <w:rsid w:val="00A15BC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5BC9"/>
    <w:rPr>
      <w:i/>
      <w:iCs/>
      <w:color w:val="2F5496" w:themeColor="accent1" w:themeShade="BF"/>
      <w:lang w:val="lt-LT"/>
    </w:rPr>
  </w:style>
  <w:style w:type="character" w:styleId="IntenseReference">
    <w:name w:val="Intense Reference"/>
    <w:basedOn w:val="DefaultParagraphFont"/>
    <w:uiPriority w:val="32"/>
    <w:qFormat/>
    <w:rsid w:val="00A15BC9"/>
    <w:rPr>
      <w:b/>
      <w:bCs/>
      <w:smallCaps/>
      <w:color w:val="2F5496" w:themeColor="accent1" w:themeShade="BF"/>
      <w:spacing w:val="5"/>
    </w:rPr>
  </w:style>
  <w:style w:type="paragraph" w:styleId="Revision">
    <w:name w:val="Revision"/>
    <w:hidden/>
    <w:uiPriority w:val="99"/>
    <w:semiHidden/>
    <w:rsid w:val="00AB76E4"/>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659</Words>
  <Characters>3759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 Murin</dc:creator>
  <cp:lastModifiedBy>Erik Murin</cp:lastModifiedBy>
  <cp:revision>2</cp:revision>
  <dcterms:created xsi:type="dcterms:W3CDTF">2026-08-18T05:56:00Z</dcterms:created>
  <dcterms:modified xsi:type="dcterms:W3CDTF">2026-08-18T05:56:00Z</dcterms:modified>
</cp:coreProperties>
</file>