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rtl w:val="0"/>
        </w:rPr>
        <w:t xml:space="preserve">2026 08 </w:t>
      </w:r>
      <w:r w:rsidDel="00000000" w:rsidR="00000000" w:rsidRPr="00000000">
        <w:rPr>
          <w:rFonts w:ascii="Times New Roman" w:cs="Times New Roman" w:eastAsia="Times New Roman" w:hAnsi="Times New Roman"/>
          <w:b w:val="1"/>
          <w:bCs w:val="1"/>
          <w:rtl w:val="0"/>
        </w:rPr>
        <w:t xml:space="preserve">21</w:t>
      </w:r>
      <w:r w:rsidDel="00000000" w:rsidR="00000000" w:rsidRPr="00000000">
        <w:rPr>
          <w:rtl w:val="0"/>
        </w:rPr>
      </w:r>
    </w:p>
    <w:p w:rsidR="00000000" w:rsidDel="00000000" w:rsidP="00000000" w:rsidRDefault="00000000" w:rsidRPr="00000000" w14:paraId="00000002">
      <w:pPr>
        <w:jc w:val="right"/>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03">
      <w:pPr>
        <w:spacing w:after="16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Tūkstančiai žmonių vienoje vietoje: kas vyksta su ryšiu per didžiuosius renginius </w:t>
      </w:r>
    </w:p>
    <w:p w:rsidR="00000000" w:rsidDel="00000000" w:rsidP="00000000" w:rsidRDefault="00000000" w:rsidRPr="00000000" w14:paraId="00000004">
      <w:pPr>
        <w:spacing w:after="16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Tūkstančiai žmonių vienoje vietoje, bilietai telefone, tiesioginės transliacijos, žinutės draugams ir pavežėjų programėlės po renginio – dideli vasaros koncertai ir festivaliai reikalauja ir didesnių mobiliojo ryšio tinklo pajėgumų . „Tele2“ šią vasarą spacialius ryšio sprendimus pasitelkė Vilniaus Kalnų parke, festivalio „Kilkim Žaibu“ vietoje Lėne, Žagarės vyšnių festivalyje ir „1006 km“ lenktynėse Palangoje.</w:t>
      </w:r>
    </w:p>
    <w:p w:rsidR="00000000" w:rsidDel="00000000" w:rsidP="00000000" w:rsidRDefault="00000000" w:rsidRPr="00000000" w14:paraId="00000005">
      <w:pPr>
        <w:spacing w:after="1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„Kiekvieną renginį vertiname individualiai. Svarbu ne tik tai, kiek žmonių jame dalyvaus, bet ir kur jis vyksta. Miesto koncertų erdvėje dažniausiai galima sustiprinti jau esamą tinklą, tačiau festivalyje atokesnėje vietovėje dažnu atveju tenka sukurti laikiną ryšio infrastruktūrą“, – sako „Tele2“ technikos direktorius Baltijos šalims Valerij Kovzan.</w:t>
      </w:r>
    </w:p>
    <w:p w:rsidR="00000000" w:rsidDel="00000000" w:rsidP="00000000" w:rsidRDefault="00000000" w:rsidRPr="00000000" w14:paraId="00000006">
      <w:pPr>
        <w:spacing w:after="16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Vienas svarbiausių vasaros koncertų taškų</w:t>
      </w:r>
    </w:p>
    <w:p w:rsidR="00000000" w:rsidDel="00000000" w:rsidP="00000000" w:rsidRDefault="00000000" w:rsidRPr="00000000" w14:paraId="00000007">
      <w:pPr>
        <w:spacing w:after="1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Vilniaus Kalnų parke šią vasarą jau koncertavo Andrius Mamontovas, vyko „Lithuanian Pride“ koncertas, „Juodas Vilnius 2026“, „Sting 3.0 Tour“, Ansamblių vakaras „Metų ritmu“, o rugpjūtį koncertų sezoną pratęsė „The Cure“, „Sounds Good Vilnius | Moby“, „Nick Cave &amp; The Bad Seeds“.</w:t>
      </w:r>
    </w:p>
    <w:p w:rsidR="00000000" w:rsidDel="00000000" w:rsidP="00000000" w:rsidRDefault="00000000" w:rsidRPr="00000000" w14:paraId="00000008">
      <w:pPr>
        <w:spacing w:after="1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Šioje vietoje „Tele2“ jau trečius metus iš eilės renginių laikotarpiu naudoja laikiną mobilią bazinę stotį. Ji padeda padidinti tinklo talpą tada, kai vienoje teritorijoje per trumpą laiką susirenka tūkstančiai lankytojų.</w:t>
      </w:r>
    </w:p>
    <w:p w:rsidR="00000000" w:rsidDel="00000000" w:rsidP="00000000" w:rsidRDefault="00000000" w:rsidRPr="00000000" w14:paraId="00000009">
      <w:pPr>
        <w:spacing w:after="1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„Per didelį koncertą tinklo naudojimas gali pasikeisti vos per kelias valandas. Žmonės vienu metu tikrina bilietus, skambina, siunčia žinutes, filmuoja ir kelia turinį į socialinius tinklus. Todėl svarbu, kad signalas būtų pasiekiamasir kokybiškai aptarnautų pasidėjusį naudotojų kiekį vienu metu“, – aiškina V. Kovzan.</w:t>
      </w:r>
    </w:p>
    <w:p w:rsidR="00000000" w:rsidDel="00000000" w:rsidP="00000000" w:rsidRDefault="00000000" w:rsidRPr="00000000" w14:paraId="0000000A">
      <w:pPr>
        <w:spacing w:after="16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Padeda </w:t>
      </w:r>
      <w:r w:rsidDel="00000000" w:rsidR="00000000" w:rsidRPr="00000000">
        <w:rPr>
          <w:rFonts w:ascii="Times New Roman" w:cs="Times New Roman" w:eastAsia="Times New Roman" w:hAnsi="Times New Roman"/>
          <w:b w:val="1"/>
          <w:bCs w:val="1"/>
          <w:rtl w:val="0"/>
        </w:rPr>
        <w:t xml:space="preserve">išmaniosios antenos </w:t>
      </w:r>
    </w:p>
    <w:p w:rsidR="00000000" w:rsidDel="00000000" w:rsidP="00000000" w:rsidRDefault="00000000" w:rsidRPr="00000000" w14:paraId="0000000B">
      <w:pPr>
        <w:spacing w:after="1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Naudojantis 5G ryšiu dideliuose renginiuose, svarbus ne tik tinklo padengimas, bet ir jo talpa. Todėl „Tele2“ pasitelkia išmaniąsias „Massive MIMO“ antenas, kurios leidžia vienu metu kokybišką 5G ryšį užtikrinti didesniam skaičiui žmonių. </w:t>
      </w:r>
    </w:p>
    <w:p w:rsidR="00000000" w:rsidDel="00000000" w:rsidP="00000000" w:rsidRDefault="00000000" w:rsidRPr="00000000" w14:paraId="0000000C">
      <w:pPr>
        <w:spacing w:after="1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Šią vasarą „Tele2“ pradėjo naudoti naujos kartos 64 siųstuvų ir imtuvų elementų antenas, pakeitusias anksčiau naudotus 32 elementų sprendimus. Jos padeda efektyviau išnaudoti turimus dažnius, palaikyti didesnę tinklo talpą ir sklandesnį duomenų perdavimą net esant didelei miniai.</w:t>
      </w:r>
    </w:p>
    <w:p w:rsidR="00000000" w:rsidDel="00000000" w:rsidP="00000000" w:rsidRDefault="00000000" w:rsidRPr="00000000" w14:paraId="0000000D">
      <w:pPr>
        <w:spacing w:after="1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„Paprastai tariant, tokia antena gali tikslingiau nukreipti stiprų signalą skirtingomis kryptymis ir  kokybiškiau aptarnauti atskirus renginio vietos sektorius. Tai leidžia vienu metu dar kokybiškiau aptarnauti daugiau vartotojų ir išlaikyti sklandesnius vaizdo bei balso skambučius“, – sako V. Kovzan.</w:t>
      </w:r>
    </w:p>
    <w:p w:rsidR="00000000" w:rsidDel="00000000" w:rsidP="00000000" w:rsidRDefault="00000000" w:rsidRPr="00000000" w14:paraId="0000000E">
      <w:pPr>
        <w:spacing w:after="16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Atokesnėse vietovėse prireikia kitokių sprendimų</w:t>
      </w:r>
    </w:p>
    <w:p w:rsidR="00000000" w:rsidDel="00000000" w:rsidP="00000000" w:rsidRDefault="00000000" w:rsidRPr="00000000" w14:paraId="0000000F">
      <w:pPr>
        <w:spacing w:after="1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Papildomų sprendimų prireikia renginiams, vykstantiems toliau nuo didžiųjų miestų. Tokiose vietovėse didžiąją metų dalį būna palyginti nedaug žmonių, tačiau festivalio savaitgalį lankytojų skaičius gali išaugti dešimtimis kartų.</w:t>
      </w:r>
    </w:p>
    <w:p w:rsidR="00000000" w:rsidDel="00000000" w:rsidP="00000000" w:rsidRDefault="00000000" w:rsidRPr="00000000" w14:paraId="00000010">
      <w:pPr>
        <w:spacing w:after="1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Šią vasarą „Tele2“ ryšio infrastruktūra buvo sustiprinta festivalio „Kilkim Žaibu“ vietoje Lėne, Ukmergės rajone. Čia pastatyta nuolatinė bazinė stotis, todėl jos naudą pajunta ne tik festivalio lankytojai, bet ir vietos gyventojai.</w:t>
      </w:r>
    </w:p>
    <w:p w:rsidR="00000000" w:rsidDel="00000000" w:rsidP="00000000" w:rsidRDefault="00000000" w:rsidRPr="00000000" w14:paraId="00000011">
      <w:pPr>
        <w:spacing w:after="1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Papildomi sprendimai pasitelkti ir Žagarės vyšnių festivalyje prie Žvelgaičių ežero bei „1006 km“ lenktynėse Palangoje. Nauja bazinė stotis taip pat įrengta S. Žukausko poligono teritorijoje, kur vyko „DAIMEX Baltic“ dronų renginys.</w:t>
      </w:r>
    </w:p>
    <w:p w:rsidR="00000000" w:rsidDel="00000000" w:rsidP="00000000" w:rsidRDefault="00000000" w:rsidRPr="00000000" w14:paraId="00000012">
      <w:pPr>
        <w:spacing w:after="1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„Vietovė, kurioje įprastai būna nedaug žmonių, festivalio metu kelioms dienoms gali sulaukti tūkstančių lankytojų. Todėl vienur pakanka padidinti jau veikiančios stoties pajėgumą, kitur reikia mobilios stoties ar naujos infrastruktūros“, – teigia V. Kovzan.</w:t>
      </w:r>
    </w:p>
    <w:p w:rsidR="00000000" w:rsidDel="00000000" w:rsidP="00000000" w:rsidRDefault="00000000" w:rsidRPr="00000000" w14:paraId="00000013">
      <w:pPr>
        <w:spacing w:after="16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Ryšys - ne tik dėl socialinių tinklų</w:t>
      </w:r>
    </w:p>
    <w:p w:rsidR="00000000" w:rsidDel="00000000" w:rsidP="00000000" w:rsidRDefault="00000000" w:rsidRPr="00000000" w14:paraId="00000014">
      <w:pPr>
        <w:spacing w:after="1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Stabilus mobilusis ryšys dideliuose renginiuose reikalingas ne tik norint pasidalinti nuotrauka ar vaizdo įrašu. Lankytojai telefonu naudojasi bilietams, navigacijai, pavežėjų programėlėms ir bendravimui tarpusavyje. Interneto reikia ir prekybininkams, priimantiems elektroninius mokėjimus, bei renginio organizatoriams.</w:t>
      </w:r>
    </w:p>
    <w:p w:rsidR="00000000" w:rsidDel="00000000" w:rsidP="00000000" w:rsidRDefault="00000000" w:rsidRPr="00000000" w14:paraId="00000015">
      <w:pPr>
        <w:spacing w:after="1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Didelėms minioms pritaikyti sprendimai kai kuriose vietose veikia ir nuolat. Vilniaus Vingio parke, Kauno Dainų slėnyje ir Dariaus ir Girėno stadione Kaune įrengtos specialios stacionarios bazinės stotys bei antenos, galinčios aptarnauti itin didelius lankytojų srautus.</w:t>
      </w:r>
    </w:p>
    <w:p w:rsidR="00000000" w:rsidDel="00000000" w:rsidP="00000000" w:rsidRDefault="00000000" w:rsidRPr="00000000" w14:paraId="00000016">
      <w:pPr>
        <w:spacing w:after="1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Šiuo metu „Tele2“ greitasis 5G ryšys pasiekiamas 90,2 proc. Lietuvos populiacijos, o </w:t>
      </w:r>
      <w:r w:rsidDel="00000000" w:rsidR="00000000" w:rsidRPr="00000000">
        <w:rPr>
          <w:rFonts w:ascii="Times New Roman" w:cs="Times New Roman" w:eastAsia="Times New Roman" w:hAnsi="Times New Roman"/>
          <w:rtl w:val="0"/>
        </w:rPr>
        <w:t xml:space="preserve">4G ryšys dengia 99,99 proc. </w:t>
      </w:r>
      <w:r w:rsidDel="00000000" w:rsidR="00000000" w:rsidRPr="00000000">
        <w:rPr>
          <w:rFonts w:ascii="Times New Roman" w:cs="Times New Roman" w:eastAsia="Times New Roman" w:hAnsi="Times New Roman"/>
          <w:rtl w:val="0"/>
        </w:rPr>
        <w:t xml:space="preserve">populiacijos. Bendrovės bazinių stočių skaičius viršija 1600.</w:t>
      </w:r>
    </w:p>
    <w:p w:rsidR="00000000" w:rsidDel="00000000" w:rsidP="00000000" w:rsidRDefault="00000000" w:rsidRPr="00000000" w14:paraId="00000017">
      <w:pPr>
        <w:spacing w:after="1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Remiantis tarptautinės interneto greičio matavimo bendrovės „Ookla“ 2026 m. pirmojo pusmečio matavimais, „Tele2“ 5G internetas pripažintas greičiausiu Lietuvoje. Apdovanojimas skiriamas vertinant realių vartotojų matavimų duomenis platformoje „Speedtest“.</w:t>
      </w:r>
    </w:p>
    <w:p w:rsidR="00000000" w:rsidDel="00000000" w:rsidP="00000000" w:rsidRDefault="00000000" w:rsidRPr="00000000" w14:paraId="00000018">
      <w:pPr>
        <w:spacing w:after="1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jc w:val="both"/>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Daugiau informacijos:</w:t>
      </w:r>
    </w:p>
    <w:p w:rsidR="00000000" w:rsidDel="00000000" w:rsidP="00000000" w:rsidRDefault="00000000" w:rsidRPr="00000000" w14:paraId="0000001A">
      <w:pPr>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Asta Buitkutė</w:t>
      </w:r>
    </w:p>
    <w:p w:rsidR="00000000" w:rsidDel="00000000" w:rsidP="00000000" w:rsidRDefault="00000000" w:rsidRPr="00000000" w14:paraId="0000001B">
      <w:pPr>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„Tele2“ atstovė ryšiams su visuomene</w:t>
      </w:r>
    </w:p>
    <w:p w:rsidR="00000000" w:rsidDel="00000000" w:rsidP="00000000" w:rsidRDefault="00000000" w:rsidRPr="00000000" w14:paraId="0000001C">
      <w:pPr>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M +370 668 00467</w:t>
      </w:r>
    </w:p>
    <w:p w:rsidR="00000000" w:rsidDel="00000000" w:rsidP="00000000" w:rsidRDefault="00000000" w:rsidRPr="00000000" w14:paraId="0000001D">
      <w:pPr>
        <w:jc w:val="both"/>
        <w:rPr>
          <w:rFonts w:ascii="Times New Roman" w:cs="Times New Roman" w:eastAsia="Times New Roman" w:hAnsi="Times New Roman"/>
          <w:color w:val="222222"/>
        </w:rPr>
      </w:pPr>
      <w:r w:rsidDel="00000000" w:rsidR="00000000" w:rsidRPr="00000000">
        <w:rPr>
          <w:rFonts w:ascii="Times New Roman" w:cs="Times New Roman" w:eastAsia="Times New Roman" w:hAnsi="Times New Roman"/>
          <w:color w:val="000000"/>
          <w:rtl w:val="0"/>
        </w:rPr>
        <w:t xml:space="preserve">@ asta.buitkute@tele2.com</w:t>
      </w:r>
      <w:r w:rsidDel="00000000" w:rsidR="00000000" w:rsidRPr="00000000">
        <w:rPr>
          <w:rtl w:val="0"/>
        </w:rPr>
      </w:r>
    </w:p>
    <w:sectPr>
      <w:headerReference r:id="rId7" w:type="default"/>
      <w:footerReference r:id="rId8" w:type="default"/>
      <w:pgSz w:h="16840" w:w="11900"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Apie „Tele2“</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-928682</wp:posOffset>
              </wp:positionH>
              <wp:positionV relativeFrom="paragraph">
                <wp:posOffset>10214929</wp:posOffset>
              </wp:positionV>
              <wp:extent cx="7585075" cy="301625"/>
              <wp:effectExtent b="0" l="0" r="0" t="0"/>
              <wp:wrapNone/>
              <wp:docPr descr="{&quot;HashCode&quot;:-639942987,&quot;Height&quot;:842.0,&quot;Width&quot;:595.0,&quot;Placement&quot;:&quot;Footer&quot;,&quot;Index&quot;:&quot;Primary&quot;,&quot;Section&quot;:1,&quot;Top&quot;:0.0,&quot;Left&quot;:0.0}" id="1" name=""/>
              <a:graphic>
                <a:graphicData uri="http://schemas.microsoft.com/office/word/2010/wordprocessingShape">
                  <wps:wsp>
                    <wps:cNvSpPr/>
                    <wps:cNvPr id="2" name="Shape 2"/>
                    <wps:spPr>
                      <a:xfrm>
                        <a:off x="1567750" y="3643475"/>
                        <a:ext cx="7556500" cy="273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b" bIns="0" lIns="254000"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-928682</wp:posOffset>
              </wp:positionH>
              <wp:positionV relativeFrom="paragraph">
                <wp:posOffset>10214929</wp:posOffset>
              </wp:positionV>
              <wp:extent cx="7585075" cy="301625"/>
              <wp:effectExtent b="0" l="0" r="0" t="0"/>
              <wp:wrapNone/>
              <wp:docPr descr="{&quot;HashCode&quot;:-639942987,&quot;Height&quot;:842.0,&quot;Width&quot;:595.0,&quot;Placement&quot;:&quot;Footer&quot;,&quot;Index&quot;:&quot;Primary&quot;,&quot;Section&quot;:1,&quot;Top&quot;:0.0,&quot;Left&quot;:0.0}" id="1" name="image2.png"/>
              <a:graphic>
                <a:graphicData uri="http://schemas.openxmlformats.org/drawingml/2006/picture">
                  <pic:pic>
                    <pic:nvPicPr>
                      <pic:cNvPr descr="{&quot;HashCode&quot;:-639942987,&quot;Height&quot;:842.0,&quot;Width&quot;:595.0,&quot;Placement&quot;:&quot;Footer&quot;,&quot;Index&quot;:&quot;Primary&quot;,&quot;Section&quot;:1,&quot;Top&quot;:0.0,&quot;Left&quot;:0.0}" id="0" name="image2.png"/>
                      <pic:cNvPicPr preferRelativeResize="0"/>
                    </pic:nvPicPr>
                    <pic:blipFill>
                      <a:blip r:embed="rId1"/>
                      <a:srcRect/>
                      <a:stretch>
                        <a:fillRect/>
                      </a:stretch>
                    </pic:blipFill>
                    <pic:spPr>
                      <a:xfrm>
                        <a:off x="0" y="0"/>
                        <a:ext cx="7585075" cy="301625"/>
                      </a:xfrm>
                      <a:prstGeom prst="rect"/>
                      <a:ln/>
                    </pic:spPr>
                  </pic:pic>
                </a:graphicData>
              </a:graphic>
            </wp:anchor>
          </w:drawing>
        </mc:Fallback>
      </mc:AlternateContent>
    </w:r>
  </w:p>
  <w:p w:rsidR="00000000" w:rsidDel="00000000" w:rsidP="00000000" w:rsidRDefault="00000000" w:rsidRPr="00000000" w14:paraId="00000020">
    <w:pPr>
      <w:jc w:val="both"/>
      <w:rPr>
        <w:rFonts w:ascii="Arial" w:cs="Arial" w:eastAsia="Arial" w:hAnsi="Arial"/>
        <w:color w:val="0000ff"/>
        <w:sz w:val="18"/>
        <w:szCs w:val="18"/>
        <w:u w:val="single"/>
      </w:rPr>
    </w:pPr>
    <w:r w:rsidDel="00000000" w:rsidR="00000000" w:rsidRPr="00000000">
      <w:rPr>
        <w:rFonts w:ascii="Arial" w:cs="Arial" w:eastAsia="Arial" w:hAnsi="Arial"/>
        <w:sz w:val="18"/>
        <w:szCs w:val="18"/>
        <w:rtl w:val="0"/>
      </w:rPr>
      <w:t xml:space="preserve">„Tele2“ nuolatos siekia teikti geriausius pasiūlymus ir siūlyti mažiausias kainas rinkoje. Bendrovė teikia mobiliojo ir fiksuoto ryšio, duomenų perdavimo, kabelinės televizijos, turinio ir daiktų interneto sprendimų paslaugas milijonams klientų. Nuo 1993 m., kai Jan Stenbeck įkūrė bendrovę, ji tapo rimtu konkurentu buvusioms valstybinėms monopolijoms ir kitiems ryšio tiekėjams. Nuo 1996 m. „Tele2“ įtraukta į NASDAQ OMX Stokholmo vertybinių popierių biržos sąrašus. Lietuvoje „Tele2“ pradėjo veiklą 2000 metais. Aplankykite mus </w:t>
    </w:r>
    <w:hyperlink r:id="rId2">
      <w:r w:rsidDel="00000000" w:rsidR="00000000" w:rsidRPr="00000000">
        <w:rPr>
          <w:rFonts w:ascii="Arial" w:cs="Arial" w:eastAsia="Arial" w:hAnsi="Arial"/>
          <w:color w:val="0000ff"/>
          <w:sz w:val="18"/>
          <w:szCs w:val="18"/>
          <w:u w:val="single"/>
          <w:rtl w:val="0"/>
        </w:rPr>
        <w:t xml:space="preserve">www.tele2.lt</w:t>
      </w:r>
    </w:hyperlink>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4753610</wp:posOffset>
          </wp:positionH>
          <wp:positionV relativeFrom="paragraph">
            <wp:posOffset>-266062</wp:posOffset>
          </wp:positionV>
          <wp:extent cx="1046191" cy="557969"/>
          <wp:effectExtent b="0" l="0" r="0" t="0"/>
          <wp:wrapNone/>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46191" cy="557969"/>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l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rPr>
      <w:rFonts w:ascii="Times New Roman" w:cs="Times New Roman" w:eastAsia="Times New Roman" w:hAnsi="Times New Roman"/>
      <w:b w:val="1"/>
      <w:bCs w:val="1"/>
      <w:sz w:val="27"/>
      <w:szCs w:val="27"/>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hyperlink" Target="http://www.tele2.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27CDhYbfWFUYk7KBsalEazYkSA==">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MSIP_Label_ecca9737-3fb7-4a23-a452-5fd2dddae788_Enabled">
    <vt:lpwstr>true</vt:lpwstr>
  </property>
  <property fmtid="{D5CDD505-2E9C-101B-9397-08002B2CF9AE}" pid="3" name="MSIP_Label_ecca9737-3fb7-4a23-a452-5fd2dddae788_SetDate">
    <vt:lpwstr>2021-07-05T05:13:11Z</vt:lpwstr>
  </property>
  <property fmtid="{D5CDD505-2E9C-101B-9397-08002B2CF9AE}" pid="4" name="MSIP_Label_ecca9737-3fb7-4a23-a452-5fd2dddae788_Method">
    <vt:lpwstr>Standard</vt:lpwstr>
  </property>
  <property fmtid="{D5CDD505-2E9C-101B-9397-08002B2CF9AE}" pid="5" name="MSIP_Label_ecca9737-3fb7-4a23-a452-5fd2dddae788_Name">
    <vt:lpwstr>Internal</vt:lpwstr>
  </property>
  <property fmtid="{D5CDD505-2E9C-101B-9397-08002B2CF9AE}" pid="6" name="MSIP_Label_ecca9737-3fb7-4a23-a452-5fd2dddae788_SiteId">
    <vt:lpwstr>76431109-ff89-42c2-8781-a07ca07a2d57</vt:lpwstr>
  </property>
  <property fmtid="{D5CDD505-2E9C-101B-9397-08002B2CF9AE}" pid="7" name="MSIP_Label_ecca9737-3fb7-4a23-a452-5fd2dddae788_ActionId">
    <vt:lpwstr>55c7c224-13ca-42fc-9f2a-8bfe461c24fc</vt:lpwstr>
  </property>
  <property fmtid="{D5CDD505-2E9C-101B-9397-08002B2CF9AE}" pid="8" name="MSIP_Label_ecca9737-3fb7-4a23-a452-5fd2dddae788_ContentBits">
    <vt:lpwstr>2</vt:lpwstr>
  </property>
  <property fmtid="{D5CDD505-2E9C-101B-9397-08002B2CF9AE}" pid="9" name="GrammarlyDocumentId">
    <vt:lpwstr>a7bab780030ea9a742b2af2ed669654013791b30c7984ad079e31a1d543ee316</vt:lpwstr>
  </property>
</Properties>
</file>