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5A46" w14:textId="488BF6E9"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Lietuvos gyventojai rečiau vartoja alkoholį, tačiau auga narkotikų ir nikotino gaminių vartojimo rodikliai</w:t>
      </w:r>
    </w:p>
    <w:p w14:paraId="255CEC7C" w14:textId="717E84DB"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b/>
          <w:bCs/>
          <w:sz w:val="24"/>
          <w:szCs w:val="24"/>
        </w:rPr>
        <w:t>Naujas tyrimas rodo ryškius psichoaktyviųjų medžiagų vartojimo pokyčius Lietuvoje: alkoholio vartojimas mažėja, tačiau reikšmingai išaugo narkotikų vartojimo paplitimas</w:t>
      </w:r>
      <w:r w:rsidR="00D173FE" w:rsidRPr="00741F42">
        <w:rPr>
          <w:rFonts w:ascii="Times New Roman" w:hAnsi="Times New Roman" w:cs="Times New Roman"/>
          <w:b/>
          <w:bCs/>
          <w:sz w:val="24"/>
          <w:szCs w:val="24"/>
        </w:rPr>
        <w:t xml:space="preserve"> tarp bent kartą gyvenime vartojusių</w:t>
      </w:r>
      <w:r w:rsidRPr="00741F42">
        <w:rPr>
          <w:rFonts w:ascii="Times New Roman" w:hAnsi="Times New Roman" w:cs="Times New Roman"/>
          <w:b/>
          <w:bCs/>
          <w:sz w:val="24"/>
          <w:szCs w:val="24"/>
        </w:rPr>
        <w:t>, o elektroninės cigaretės ir kiti nauji nikotino gaminiai ypač sparčiai plinta tarp jaunesnių gyventojų.</w:t>
      </w:r>
    </w:p>
    <w:p w14:paraId="78E91B99"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2026 m. atliktas reprezentatyvus Lietuvos gyventojų tyrimas atskleidžia besikeičiantį psichoaktyviųjų medžiagų vartojimo paveikslą. Nors alkoholio vartojimas per pastaruosius penkerius metus sumažėjo, vis daugiau gyventojų turi narkotikų vartojimo patirties. Tuo pat metu tradicinius tabako gaminius vis dažniau papildo elektroninės cigaretės ir kaitinamojo tabako gaminiai.</w:t>
      </w:r>
    </w:p>
    <w:p w14:paraId="21D4B285"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Tyrime dalyvavo </w:t>
      </w:r>
      <w:r w:rsidRPr="00741F42">
        <w:rPr>
          <w:rFonts w:ascii="Times New Roman" w:hAnsi="Times New Roman" w:cs="Times New Roman"/>
          <w:b/>
          <w:bCs/>
          <w:sz w:val="24"/>
          <w:szCs w:val="24"/>
        </w:rPr>
        <w:t>4670 15–64 metų amžiaus Lietuvos gyventojų</w:t>
      </w:r>
      <w:r w:rsidRPr="00741F42">
        <w:rPr>
          <w:rFonts w:ascii="Times New Roman" w:hAnsi="Times New Roman" w:cs="Times New Roman"/>
          <w:sz w:val="24"/>
          <w:szCs w:val="24"/>
        </w:rPr>
        <w:t>. Gyventojų apklausa vyko 2026 m. sausio 21–kovo 29 dienomis.</w:t>
      </w:r>
    </w:p>
    <w:p w14:paraId="77D16E8E" w14:textId="40FF3AF0"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Alkoholio vartojančiųjų mažėja, tačiau daugėja nesaiki</w:t>
      </w:r>
      <w:r w:rsidR="001462DD" w:rsidRPr="00741F42">
        <w:rPr>
          <w:rFonts w:ascii="Times New Roman" w:hAnsi="Times New Roman" w:cs="Times New Roman"/>
          <w:b/>
          <w:bCs/>
          <w:sz w:val="24"/>
          <w:szCs w:val="24"/>
        </w:rPr>
        <w:t>ngai</w:t>
      </w:r>
      <w:r w:rsidRPr="00741F42">
        <w:rPr>
          <w:rFonts w:ascii="Times New Roman" w:hAnsi="Times New Roman" w:cs="Times New Roman"/>
          <w:b/>
          <w:bCs/>
          <w:sz w:val="24"/>
          <w:szCs w:val="24"/>
        </w:rPr>
        <w:t xml:space="preserve"> geriančių</w:t>
      </w:r>
    </w:p>
    <w:p w14:paraId="388B4069"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2026 m. alkoholio per paskutinius 12 mėnesių buvo vartoję </w:t>
      </w:r>
      <w:r w:rsidRPr="00741F42">
        <w:rPr>
          <w:rFonts w:ascii="Times New Roman" w:hAnsi="Times New Roman" w:cs="Times New Roman"/>
          <w:b/>
          <w:bCs/>
          <w:sz w:val="24"/>
          <w:szCs w:val="24"/>
        </w:rPr>
        <w:t>74,8 proc.</w:t>
      </w:r>
      <w:r w:rsidRPr="00741F42">
        <w:rPr>
          <w:rFonts w:ascii="Times New Roman" w:hAnsi="Times New Roman" w:cs="Times New Roman"/>
          <w:sz w:val="24"/>
          <w:szCs w:val="24"/>
        </w:rPr>
        <w:t xml:space="preserve"> Lietuvos gyventojų, o per paskutines 30 dienų – </w:t>
      </w:r>
      <w:r w:rsidRPr="00741F42">
        <w:rPr>
          <w:rFonts w:ascii="Times New Roman" w:hAnsi="Times New Roman" w:cs="Times New Roman"/>
          <w:b/>
          <w:bCs/>
          <w:sz w:val="24"/>
          <w:szCs w:val="24"/>
        </w:rPr>
        <w:t>57,5 proc.</w:t>
      </w:r>
      <w:r w:rsidRPr="00741F42">
        <w:rPr>
          <w:rFonts w:ascii="Times New Roman" w:hAnsi="Times New Roman" w:cs="Times New Roman"/>
          <w:sz w:val="24"/>
          <w:szCs w:val="24"/>
        </w:rPr>
        <w:t xml:space="preserve"> Abu rodikliai, palyginti su 2021 m., sumažėjo.</w:t>
      </w:r>
    </w:p>
    <w:p w14:paraId="5132DBAD"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Tačiau tyrėjai atkreipia dėmesį į kitą tendenciją – nors bendras alkoholį vartojančių žmonių skaičius mažėja, </w:t>
      </w:r>
      <w:r w:rsidRPr="00741F42">
        <w:rPr>
          <w:rFonts w:ascii="Times New Roman" w:hAnsi="Times New Roman" w:cs="Times New Roman"/>
          <w:b/>
          <w:bCs/>
          <w:sz w:val="24"/>
          <w:szCs w:val="24"/>
        </w:rPr>
        <w:t>daugėja gyventojų, kurie alkoholį vartoja dideliais kiekiais</w:t>
      </w:r>
      <w:r w:rsidRPr="00741F42">
        <w:rPr>
          <w:rFonts w:ascii="Times New Roman" w:hAnsi="Times New Roman" w:cs="Times New Roman"/>
          <w:sz w:val="24"/>
          <w:szCs w:val="24"/>
        </w:rPr>
        <w:t>.</w:t>
      </w:r>
    </w:p>
    <w:p w14:paraId="27226C64"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Šešis ar daugiau standartinių alkoholio vienetų vienu metu bent kartą per savaitę išgeria </w:t>
      </w:r>
      <w:r w:rsidRPr="00741F42">
        <w:rPr>
          <w:rFonts w:ascii="Times New Roman" w:hAnsi="Times New Roman" w:cs="Times New Roman"/>
          <w:b/>
          <w:bCs/>
          <w:sz w:val="24"/>
          <w:szCs w:val="24"/>
        </w:rPr>
        <w:t>11,2 proc.</w:t>
      </w:r>
      <w:r w:rsidRPr="00741F42">
        <w:rPr>
          <w:rFonts w:ascii="Times New Roman" w:hAnsi="Times New Roman" w:cs="Times New Roman"/>
          <w:sz w:val="24"/>
          <w:szCs w:val="24"/>
        </w:rPr>
        <w:t xml:space="preserve"> 15–64 metų gyventojų. 2021 m. tokių buvo 7,1 proc. Iš jų 1,3 proc. tokį kiekį alkoholio suvartoja kasdien arba beveik kasdien, 9,9 proc. – kiekvieną savaitę. Dažniau didelį alkoholio kiekį nurodo vartojantys vyrai.</w:t>
      </w:r>
    </w:p>
    <w:p w14:paraId="6EA50B6C"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„Šie skaičiai rodo, kad bendras alkoholio vartojimo mažėjimas yra svarbi tendencija, tačiau kartu turime matyti ir kitą jos pusę – dalis žmonių alkoholį vartoja rečiau, bet vienu kartu išgeria daugiau. Todėl vertinant situaciją būtina atsižvelgti ne tik į vartojimo paplitimą, bet ir į vartojimo įpročius“, – teigiama tyrimo pristatyme.</w:t>
      </w:r>
    </w:p>
    <w:p w14:paraId="4CB418EF"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Alkoholio vartojimo pradžios amžiaus mediana 2026 m. buvo </w:t>
      </w:r>
      <w:r w:rsidRPr="00741F42">
        <w:rPr>
          <w:rFonts w:ascii="Times New Roman" w:hAnsi="Times New Roman" w:cs="Times New Roman"/>
          <w:b/>
          <w:bCs/>
          <w:sz w:val="24"/>
          <w:szCs w:val="24"/>
        </w:rPr>
        <w:t>18 metų</w:t>
      </w:r>
      <w:r w:rsidRPr="00741F42">
        <w:rPr>
          <w:rFonts w:ascii="Times New Roman" w:hAnsi="Times New Roman" w:cs="Times New Roman"/>
          <w:sz w:val="24"/>
          <w:szCs w:val="24"/>
        </w:rPr>
        <w:t xml:space="preserve"> ir nuo 2004 m. išlieka nepakitusi.</w:t>
      </w:r>
    </w:p>
    <w:p w14:paraId="342D557A" w14:textId="77777777"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Narkotikų vartojimo patirtį turi jau beveik kas ketvirtas gyventojas</w:t>
      </w:r>
    </w:p>
    <w:p w14:paraId="4A34FC31"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Ryškiausias tyrimo pokytis – narkotikų vartojimo rodikliai.</w:t>
      </w:r>
    </w:p>
    <w:p w14:paraId="6DBBB997"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b/>
          <w:bCs/>
          <w:sz w:val="24"/>
          <w:szCs w:val="24"/>
        </w:rPr>
        <w:t>24,2 proc.</w:t>
      </w:r>
      <w:r w:rsidRPr="00741F42">
        <w:rPr>
          <w:rFonts w:ascii="Times New Roman" w:hAnsi="Times New Roman" w:cs="Times New Roman"/>
          <w:sz w:val="24"/>
          <w:szCs w:val="24"/>
        </w:rPr>
        <w:t xml:space="preserve"> 15–64 metų Lietuvos gyventojų nurodė bent kartą gyvenime vartoję narkotinių ar psichotropinių medžiagų. 2021 m. tokių buvo 14,1 proc.</w:t>
      </w:r>
    </w:p>
    <w:p w14:paraId="55CBD53C" w14:textId="17E64F82"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Per paskutinius 12 mėnesių narkotikus vartojo </w:t>
      </w:r>
      <w:r w:rsidRPr="00741F42">
        <w:rPr>
          <w:rFonts w:ascii="Times New Roman" w:hAnsi="Times New Roman" w:cs="Times New Roman"/>
          <w:b/>
          <w:bCs/>
          <w:sz w:val="24"/>
          <w:szCs w:val="24"/>
        </w:rPr>
        <w:t>5,8 proc.</w:t>
      </w:r>
      <w:r w:rsidRPr="00741F42">
        <w:rPr>
          <w:rFonts w:ascii="Times New Roman" w:hAnsi="Times New Roman" w:cs="Times New Roman"/>
          <w:sz w:val="24"/>
          <w:szCs w:val="24"/>
        </w:rPr>
        <w:t xml:space="preserve">, o per paskutines 30 dienų – </w:t>
      </w:r>
      <w:r w:rsidRPr="00741F42">
        <w:rPr>
          <w:rFonts w:ascii="Times New Roman" w:hAnsi="Times New Roman" w:cs="Times New Roman"/>
          <w:b/>
          <w:bCs/>
          <w:sz w:val="24"/>
          <w:szCs w:val="24"/>
        </w:rPr>
        <w:t>2,6 proc.</w:t>
      </w:r>
      <w:r w:rsidRPr="00741F42">
        <w:rPr>
          <w:rFonts w:ascii="Times New Roman" w:hAnsi="Times New Roman" w:cs="Times New Roman"/>
          <w:sz w:val="24"/>
          <w:szCs w:val="24"/>
        </w:rPr>
        <w:t xml:space="preserve"> gyventojų. Abu šie rodikliai taip pat išaugo, palyginti su 2021 m.</w:t>
      </w:r>
      <w:r w:rsidR="00B415A0" w:rsidRPr="00741F42">
        <w:rPr>
          <w:rFonts w:ascii="Times New Roman" w:hAnsi="Times New Roman" w:cs="Times New Roman"/>
          <w:sz w:val="24"/>
          <w:szCs w:val="24"/>
        </w:rPr>
        <w:t xml:space="preserve">, tačiau nežymiai. </w:t>
      </w:r>
    </w:p>
    <w:p w14:paraId="07C0308C"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Ypač ryškus skirtumas matomas tarp vyrų ir moterų: bent kartą gyvenime narkotikus vartoję nurodė </w:t>
      </w:r>
      <w:r w:rsidRPr="00741F42">
        <w:rPr>
          <w:rFonts w:ascii="Times New Roman" w:hAnsi="Times New Roman" w:cs="Times New Roman"/>
          <w:b/>
          <w:bCs/>
          <w:sz w:val="24"/>
          <w:szCs w:val="24"/>
        </w:rPr>
        <w:t>35,6 proc. vyrų ir 14,3 proc. moterų</w:t>
      </w:r>
      <w:r w:rsidRPr="00741F42">
        <w:rPr>
          <w:rFonts w:ascii="Times New Roman" w:hAnsi="Times New Roman" w:cs="Times New Roman"/>
          <w:sz w:val="24"/>
          <w:szCs w:val="24"/>
        </w:rPr>
        <w:t>.</w:t>
      </w:r>
    </w:p>
    <w:p w14:paraId="731324DA" w14:textId="77777777"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Kanapės išlieka populiariausios, tačiau auga ir kitų narkotikų vartojimas</w:t>
      </w:r>
    </w:p>
    <w:p w14:paraId="4079AFAA" w14:textId="0D8505FD"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lastRenderedPageBreak/>
        <w:t>Kanapės ir toliau išlieka dažniausiai vartojama narkotine</w:t>
      </w:r>
      <w:r w:rsidR="0013074A" w:rsidRPr="00741F42">
        <w:rPr>
          <w:rFonts w:ascii="Times New Roman" w:hAnsi="Times New Roman" w:cs="Times New Roman"/>
          <w:sz w:val="24"/>
          <w:szCs w:val="24"/>
        </w:rPr>
        <w:t xml:space="preserve"> ir psichotropine</w:t>
      </w:r>
      <w:r w:rsidRPr="00741F42">
        <w:rPr>
          <w:rFonts w:ascii="Times New Roman" w:hAnsi="Times New Roman" w:cs="Times New Roman"/>
          <w:sz w:val="24"/>
          <w:szCs w:val="24"/>
        </w:rPr>
        <w:t xml:space="preserve"> medžiaga Lietuvoje. Bent kartą gyvenime jas yra vartoję </w:t>
      </w:r>
      <w:r w:rsidRPr="00741F42">
        <w:rPr>
          <w:rFonts w:ascii="Times New Roman" w:hAnsi="Times New Roman" w:cs="Times New Roman"/>
          <w:b/>
          <w:bCs/>
          <w:sz w:val="24"/>
          <w:szCs w:val="24"/>
        </w:rPr>
        <w:t>20 proc.</w:t>
      </w:r>
      <w:r w:rsidRPr="00741F42">
        <w:rPr>
          <w:rFonts w:ascii="Times New Roman" w:hAnsi="Times New Roman" w:cs="Times New Roman"/>
          <w:sz w:val="24"/>
          <w:szCs w:val="24"/>
        </w:rPr>
        <w:t xml:space="preserve"> 15–64 metų gyventojų, per paskutinius 12 mėnesių – 4,3 proc., per paskutines 30 dienų – 2 proc.</w:t>
      </w:r>
    </w:p>
    <w:p w14:paraId="1754D8F6" w14:textId="03FE9884" w:rsidR="00D51633" w:rsidRPr="00741F42" w:rsidRDefault="00E7011E" w:rsidP="00D51633">
      <w:pPr>
        <w:jc w:val="both"/>
        <w:rPr>
          <w:rFonts w:ascii="Times New Roman" w:hAnsi="Times New Roman" w:cs="Times New Roman"/>
          <w:sz w:val="24"/>
          <w:szCs w:val="24"/>
        </w:rPr>
      </w:pPr>
      <w:r w:rsidRPr="00741F42">
        <w:rPr>
          <w:rFonts w:ascii="Times New Roman" w:hAnsi="Times New Roman" w:cs="Times New Roman"/>
          <w:sz w:val="24"/>
          <w:szCs w:val="24"/>
        </w:rPr>
        <w:t>R</w:t>
      </w:r>
      <w:r w:rsidR="00D51633" w:rsidRPr="00741F42">
        <w:rPr>
          <w:rFonts w:ascii="Times New Roman" w:hAnsi="Times New Roman" w:cs="Times New Roman"/>
          <w:sz w:val="24"/>
          <w:szCs w:val="24"/>
        </w:rPr>
        <w:t xml:space="preserve">eikšmingai didėja ir kitų narkotikų vartojimo patirtis. Narkotikus, išskyrus kanapes, bent kartą gyvenime yra vartoję </w:t>
      </w:r>
      <w:r w:rsidR="00D51633" w:rsidRPr="00741F42">
        <w:rPr>
          <w:rFonts w:ascii="Times New Roman" w:hAnsi="Times New Roman" w:cs="Times New Roman"/>
          <w:b/>
          <w:bCs/>
          <w:sz w:val="24"/>
          <w:szCs w:val="24"/>
        </w:rPr>
        <w:t>11,4 proc.</w:t>
      </w:r>
      <w:r w:rsidR="00D51633" w:rsidRPr="00741F42">
        <w:rPr>
          <w:rFonts w:ascii="Times New Roman" w:hAnsi="Times New Roman" w:cs="Times New Roman"/>
          <w:sz w:val="24"/>
          <w:szCs w:val="24"/>
        </w:rPr>
        <w:t xml:space="preserve"> gyventojų – 2021 m. šis rodiklis siekė 4,7 proc.</w:t>
      </w:r>
    </w:p>
    <w:p w14:paraId="2D1424CB"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Tarp kitų narkotikų išsiskiria kokainas – jo vartojimo bent kartą gyvenime rodiklis padidėjo nuo </w:t>
      </w:r>
      <w:r w:rsidRPr="00741F42">
        <w:rPr>
          <w:rFonts w:ascii="Times New Roman" w:hAnsi="Times New Roman" w:cs="Times New Roman"/>
          <w:b/>
          <w:bCs/>
          <w:sz w:val="24"/>
          <w:szCs w:val="24"/>
        </w:rPr>
        <w:t>1,8 proc. 2021 m. iki 3,6 proc. 2026 m.</w:t>
      </w:r>
      <w:r w:rsidRPr="00741F42">
        <w:rPr>
          <w:rFonts w:ascii="Times New Roman" w:hAnsi="Times New Roman" w:cs="Times New Roman"/>
          <w:sz w:val="24"/>
          <w:szCs w:val="24"/>
        </w:rPr>
        <w:t xml:space="preserve"> </w:t>
      </w:r>
      <w:proofErr w:type="spellStart"/>
      <w:r w:rsidRPr="00741F42">
        <w:rPr>
          <w:rFonts w:ascii="Times New Roman" w:hAnsi="Times New Roman" w:cs="Times New Roman"/>
          <w:sz w:val="24"/>
          <w:szCs w:val="24"/>
        </w:rPr>
        <w:t>Ekstazį</w:t>
      </w:r>
      <w:proofErr w:type="spellEnd"/>
      <w:r w:rsidRPr="00741F42">
        <w:rPr>
          <w:rFonts w:ascii="Times New Roman" w:hAnsi="Times New Roman" w:cs="Times New Roman"/>
          <w:sz w:val="24"/>
          <w:szCs w:val="24"/>
        </w:rPr>
        <w:t xml:space="preserve"> bent kartą gyvenime yra vartoję 2,9 proc., haliucinogeninius grybus – 3 proc., amfetaminą – 2,1 proc. gyventojų.</w:t>
      </w:r>
    </w:p>
    <w:p w14:paraId="78D447E6" w14:textId="77777777"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Jaunesni gyventojai – naujų nikotino gaminių vartojimo priešakyje</w:t>
      </w:r>
    </w:p>
    <w:p w14:paraId="02D73FB0"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Tyrimo duomenimis, tabako gaminiai išlieka viena labiausiai paplitusių psichoaktyviųjų medžiagų vartojimo formų. </w:t>
      </w:r>
      <w:r w:rsidRPr="00741F42">
        <w:rPr>
          <w:rFonts w:ascii="Times New Roman" w:hAnsi="Times New Roman" w:cs="Times New Roman"/>
          <w:b/>
          <w:bCs/>
          <w:sz w:val="24"/>
          <w:szCs w:val="24"/>
        </w:rPr>
        <w:t>73,3 proc.</w:t>
      </w:r>
      <w:r w:rsidRPr="00741F42">
        <w:rPr>
          <w:rFonts w:ascii="Times New Roman" w:hAnsi="Times New Roman" w:cs="Times New Roman"/>
          <w:sz w:val="24"/>
          <w:szCs w:val="24"/>
        </w:rPr>
        <w:t xml:space="preserve"> gyventojų yra bent kartą gyvenime vartoję tabako gaminių, 49,3 proc. juos vartojo per paskutinius 12 mėnesių, o 44,5 proc. – per paskutines 30 dienų.</w:t>
      </w:r>
    </w:p>
    <w:p w14:paraId="16B3039A"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Tačiau tabako vartojimo struktūra keičiasi. Elektronines cigaretes bent kartą gyvenime yra vartoję </w:t>
      </w:r>
      <w:r w:rsidRPr="00741F42">
        <w:rPr>
          <w:rFonts w:ascii="Times New Roman" w:hAnsi="Times New Roman" w:cs="Times New Roman"/>
          <w:b/>
          <w:bCs/>
          <w:sz w:val="24"/>
          <w:szCs w:val="24"/>
        </w:rPr>
        <w:t>31,3 proc.</w:t>
      </w:r>
      <w:r w:rsidRPr="00741F42">
        <w:rPr>
          <w:rFonts w:ascii="Times New Roman" w:hAnsi="Times New Roman" w:cs="Times New Roman"/>
          <w:sz w:val="24"/>
          <w:szCs w:val="24"/>
        </w:rPr>
        <w:t xml:space="preserve"> gyventojų, per paskutinius 12 mėnesių – 18,4 proc., per paskutines 30 dienų – 14,7 proc. Palyginti su 2021 m., visi šie rodikliai padidėjo.</w:t>
      </w:r>
    </w:p>
    <w:p w14:paraId="6C9DFB6B"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Ypač didelis elektroninių cigarečių vartojimo paplitimas nustatytas tarp 15–34 metų gyventojų: </w:t>
      </w:r>
      <w:r w:rsidRPr="00741F42">
        <w:rPr>
          <w:rFonts w:ascii="Times New Roman" w:hAnsi="Times New Roman" w:cs="Times New Roman"/>
          <w:b/>
          <w:bCs/>
          <w:sz w:val="24"/>
          <w:szCs w:val="24"/>
        </w:rPr>
        <w:t>28,3 proc.</w:t>
      </w:r>
      <w:r w:rsidRPr="00741F42">
        <w:rPr>
          <w:rFonts w:ascii="Times New Roman" w:hAnsi="Times New Roman" w:cs="Times New Roman"/>
          <w:sz w:val="24"/>
          <w:szCs w:val="24"/>
        </w:rPr>
        <w:t xml:space="preserve"> šios amžiaus grupės atstovų jas vartojo per paskutines 30 dienų. Vyresnių, 35–64 metų, gyventojų grupėje šis rodiklis siekia 7,4 proc.</w:t>
      </w:r>
    </w:p>
    <w:p w14:paraId="03C32BDD"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Kaitinamojo tabako gaminius bent kartą gyvenime yra vartoję 23,8 proc. gyventojų, o per paskutines 30 dienų – 9,1 proc. Jaunesnių, 15–34 metų, gyventojų grupėje pastarasis rodiklis siekia 14,2 proc.</w:t>
      </w:r>
    </w:p>
    <w:p w14:paraId="717677A7" w14:textId="77777777"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Rinkoje atsiranda vis daugiau naujų psichoaktyviųjų medžiagų</w:t>
      </w:r>
    </w:p>
    <w:p w14:paraId="68D92E9D" w14:textId="2E313A33"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Tyrimo duomenys taip pat rodo naują iššūkį – besikeičiančią </w:t>
      </w:r>
      <w:r w:rsidR="001B7A2D" w:rsidRPr="00741F42">
        <w:rPr>
          <w:rFonts w:ascii="Times New Roman" w:hAnsi="Times New Roman" w:cs="Times New Roman"/>
          <w:sz w:val="24"/>
          <w:szCs w:val="24"/>
        </w:rPr>
        <w:t xml:space="preserve">naujų </w:t>
      </w:r>
      <w:r w:rsidRPr="00741F42">
        <w:rPr>
          <w:rFonts w:ascii="Times New Roman" w:hAnsi="Times New Roman" w:cs="Times New Roman"/>
          <w:sz w:val="24"/>
          <w:szCs w:val="24"/>
        </w:rPr>
        <w:t xml:space="preserve">psichoaktyviųjų medžiagų rinką. Vis daugiau dėmesio reikia skirti sintetiniams ir pusiau sintetiniams </w:t>
      </w:r>
      <w:proofErr w:type="spellStart"/>
      <w:r w:rsidRPr="00741F42">
        <w:rPr>
          <w:rFonts w:ascii="Times New Roman" w:hAnsi="Times New Roman" w:cs="Times New Roman"/>
          <w:sz w:val="24"/>
          <w:szCs w:val="24"/>
        </w:rPr>
        <w:t>kanabinoidams</w:t>
      </w:r>
      <w:proofErr w:type="spellEnd"/>
      <w:r w:rsidRPr="00741F42">
        <w:rPr>
          <w:rFonts w:ascii="Times New Roman" w:hAnsi="Times New Roman" w:cs="Times New Roman"/>
          <w:sz w:val="24"/>
          <w:szCs w:val="24"/>
        </w:rPr>
        <w:t xml:space="preserve"> bei sintetiniams </w:t>
      </w:r>
      <w:proofErr w:type="spellStart"/>
      <w:r w:rsidRPr="00741F42">
        <w:rPr>
          <w:rFonts w:ascii="Times New Roman" w:hAnsi="Times New Roman" w:cs="Times New Roman"/>
          <w:sz w:val="24"/>
          <w:szCs w:val="24"/>
        </w:rPr>
        <w:t>katinonams</w:t>
      </w:r>
      <w:proofErr w:type="spellEnd"/>
      <w:r w:rsidRPr="00741F42">
        <w:rPr>
          <w:rFonts w:ascii="Times New Roman" w:hAnsi="Times New Roman" w:cs="Times New Roman"/>
          <w:sz w:val="24"/>
          <w:szCs w:val="24"/>
        </w:rPr>
        <w:t>.</w:t>
      </w:r>
    </w:p>
    <w:p w14:paraId="6EDE1B11"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Šios medžiagos gali būti lengvai platinamos internetu, socialiniuose tinkluose ir įvairiose programėlėse. Sintetiniai </w:t>
      </w:r>
      <w:proofErr w:type="spellStart"/>
      <w:r w:rsidRPr="00741F42">
        <w:rPr>
          <w:rFonts w:ascii="Times New Roman" w:hAnsi="Times New Roman" w:cs="Times New Roman"/>
          <w:sz w:val="24"/>
          <w:szCs w:val="24"/>
        </w:rPr>
        <w:t>kanabinoidai</w:t>
      </w:r>
      <w:proofErr w:type="spellEnd"/>
      <w:r w:rsidRPr="00741F42">
        <w:rPr>
          <w:rFonts w:ascii="Times New Roman" w:hAnsi="Times New Roman" w:cs="Times New Roman"/>
          <w:sz w:val="24"/>
          <w:szCs w:val="24"/>
        </w:rPr>
        <w:t xml:space="preserve"> gali būti maišomi su elektroninių cigarečių skysčiais ar platinami kaip kanapių pakaitalai. Didžiausia rizika susijusi su tuo, kad vartotojas ne visada žino tikrąją medžiagos sudėtį ir koncentraciją, todėl didėja apsinuodijimo ir perdozavimo tikimybė.</w:t>
      </w:r>
    </w:p>
    <w:p w14:paraId="59C159CE" w14:textId="6BC96C1A" w:rsidR="00D51633" w:rsidRPr="00741F42"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t xml:space="preserve">Tyrimo rezultatai – signalas, kur šiandien reikia nukreipti </w:t>
      </w:r>
      <w:r w:rsidR="00741F42" w:rsidRPr="00741F42">
        <w:rPr>
          <w:rFonts w:ascii="Times New Roman" w:hAnsi="Times New Roman" w:cs="Times New Roman"/>
          <w:b/>
          <w:bCs/>
          <w:sz w:val="24"/>
          <w:szCs w:val="24"/>
        </w:rPr>
        <w:t xml:space="preserve">sprendimus </w:t>
      </w:r>
    </w:p>
    <w:p w14:paraId="699F0CC6" w14:textId="77777777"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2026 m. tyrimas atskleidžia dvi skirtingas tendencijas. </w:t>
      </w:r>
      <w:r w:rsidRPr="00741F42">
        <w:rPr>
          <w:rFonts w:ascii="Times New Roman" w:hAnsi="Times New Roman" w:cs="Times New Roman"/>
          <w:b/>
          <w:bCs/>
          <w:sz w:val="24"/>
          <w:szCs w:val="24"/>
        </w:rPr>
        <w:t>Alkoholio vartojimas mažėja, tačiau narkotikų vartojimo patirtis didėja. Tuo metu nikotino vartojimo rinkoje stiprėja naujų produktų vaidmuo, ypač tarp jaunų žmonių.</w:t>
      </w:r>
    </w:p>
    <w:p w14:paraId="15B9F913" w14:textId="20F1E81B"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„Šiandien nebegalime psichoaktyviųjų medžiagų vartojimo vertinti tik per vienos medžiagos ar vieno produkto prizmę. Gyventojų elgsena keičiasi, rinkoje atsiranda naujų medžiagų ir naujų vartojimo formų, todėl ir prevencijos priemonės turi būti </w:t>
      </w:r>
      <w:r w:rsidR="004F6452" w:rsidRPr="00741F42">
        <w:rPr>
          <w:rFonts w:ascii="Times New Roman" w:hAnsi="Times New Roman" w:cs="Times New Roman"/>
          <w:sz w:val="24"/>
          <w:szCs w:val="24"/>
        </w:rPr>
        <w:t>tiks</w:t>
      </w:r>
      <w:r w:rsidR="00143FDD" w:rsidRPr="00741F42">
        <w:rPr>
          <w:rFonts w:ascii="Times New Roman" w:hAnsi="Times New Roman" w:cs="Times New Roman"/>
          <w:sz w:val="24"/>
          <w:szCs w:val="24"/>
        </w:rPr>
        <w:t>l</w:t>
      </w:r>
      <w:r w:rsidR="004F6452" w:rsidRPr="00741F42">
        <w:rPr>
          <w:rFonts w:ascii="Times New Roman" w:hAnsi="Times New Roman" w:cs="Times New Roman"/>
          <w:sz w:val="24"/>
          <w:szCs w:val="24"/>
        </w:rPr>
        <w:t>ingos</w:t>
      </w:r>
      <w:r w:rsidRPr="00741F42">
        <w:rPr>
          <w:rFonts w:ascii="Times New Roman" w:hAnsi="Times New Roman" w:cs="Times New Roman"/>
          <w:sz w:val="24"/>
          <w:szCs w:val="24"/>
        </w:rPr>
        <w:t>, paremtos duomenimis bei orientuotos į konkrečias grupes“, – pabrėžiama tyrimo išvadose.</w:t>
      </w:r>
    </w:p>
    <w:p w14:paraId="1A950C05" w14:textId="0801F28A" w:rsidR="00D51633" w:rsidRPr="00741F42" w:rsidRDefault="00D51633" w:rsidP="00D51633">
      <w:pPr>
        <w:jc w:val="both"/>
        <w:rPr>
          <w:rFonts w:ascii="Times New Roman" w:hAnsi="Times New Roman" w:cs="Times New Roman"/>
          <w:sz w:val="24"/>
          <w:szCs w:val="24"/>
        </w:rPr>
      </w:pPr>
      <w:r w:rsidRPr="00741F42">
        <w:rPr>
          <w:rFonts w:ascii="Times New Roman" w:hAnsi="Times New Roman" w:cs="Times New Roman"/>
          <w:sz w:val="24"/>
          <w:szCs w:val="24"/>
        </w:rPr>
        <w:t xml:space="preserve">Tyrimo duomenys </w:t>
      </w:r>
      <w:r w:rsidR="00143FDD" w:rsidRPr="00741F42">
        <w:rPr>
          <w:rFonts w:ascii="Times New Roman" w:hAnsi="Times New Roman" w:cs="Times New Roman"/>
          <w:sz w:val="24"/>
          <w:szCs w:val="24"/>
        </w:rPr>
        <w:t xml:space="preserve">yra </w:t>
      </w:r>
      <w:r w:rsidRPr="00741F42">
        <w:rPr>
          <w:rFonts w:ascii="Times New Roman" w:hAnsi="Times New Roman" w:cs="Times New Roman"/>
          <w:sz w:val="24"/>
          <w:szCs w:val="24"/>
        </w:rPr>
        <w:t xml:space="preserve">svarbus pagrindas vertinant psichoaktyviųjų medžiagų vartojimo situaciją Lietuvoje ir </w:t>
      </w:r>
      <w:r w:rsidR="008C47A3" w:rsidRPr="00741F42">
        <w:rPr>
          <w:rFonts w:ascii="Times New Roman" w:hAnsi="Times New Roman" w:cs="Times New Roman"/>
          <w:sz w:val="24"/>
          <w:szCs w:val="24"/>
        </w:rPr>
        <w:t xml:space="preserve">tęsiant </w:t>
      </w:r>
      <w:r w:rsidR="00293862" w:rsidRPr="00741F42">
        <w:rPr>
          <w:rFonts w:ascii="Times New Roman" w:hAnsi="Times New Roman" w:cs="Times New Roman"/>
          <w:sz w:val="24"/>
          <w:szCs w:val="24"/>
        </w:rPr>
        <w:t xml:space="preserve">jau pasiteisinusiais priemones bei </w:t>
      </w:r>
      <w:r w:rsidRPr="00741F42">
        <w:rPr>
          <w:rFonts w:ascii="Times New Roman" w:hAnsi="Times New Roman" w:cs="Times New Roman"/>
          <w:sz w:val="24"/>
          <w:szCs w:val="24"/>
        </w:rPr>
        <w:t xml:space="preserve">planuojant tolesnes </w:t>
      </w:r>
      <w:r w:rsidR="00C6238B" w:rsidRPr="00741F42">
        <w:rPr>
          <w:rFonts w:ascii="Times New Roman" w:hAnsi="Times New Roman" w:cs="Times New Roman"/>
          <w:sz w:val="24"/>
          <w:szCs w:val="24"/>
        </w:rPr>
        <w:t>paklausos</w:t>
      </w:r>
      <w:r w:rsidR="008C47A3" w:rsidRPr="00741F42">
        <w:rPr>
          <w:rFonts w:ascii="Times New Roman" w:hAnsi="Times New Roman" w:cs="Times New Roman"/>
          <w:sz w:val="24"/>
          <w:szCs w:val="24"/>
        </w:rPr>
        <w:t>,</w:t>
      </w:r>
      <w:r w:rsidR="00C6238B" w:rsidRPr="00741F42">
        <w:rPr>
          <w:rFonts w:ascii="Times New Roman" w:hAnsi="Times New Roman" w:cs="Times New Roman"/>
          <w:sz w:val="24"/>
          <w:szCs w:val="24"/>
        </w:rPr>
        <w:t xml:space="preserve"> </w:t>
      </w:r>
      <w:r w:rsidR="008C47A3" w:rsidRPr="00741F42">
        <w:rPr>
          <w:rFonts w:ascii="Times New Roman" w:hAnsi="Times New Roman" w:cs="Times New Roman"/>
          <w:sz w:val="24"/>
          <w:szCs w:val="24"/>
        </w:rPr>
        <w:t xml:space="preserve"> pasiūlos</w:t>
      </w:r>
      <w:r w:rsidRPr="00741F42">
        <w:rPr>
          <w:rFonts w:ascii="Times New Roman" w:hAnsi="Times New Roman" w:cs="Times New Roman"/>
          <w:sz w:val="24"/>
          <w:szCs w:val="24"/>
        </w:rPr>
        <w:t xml:space="preserve"> bei žalos mažinimo priemones.</w:t>
      </w:r>
    </w:p>
    <w:p w14:paraId="62FAE58B" w14:textId="77777777" w:rsidR="00D51633" w:rsidRDefault="00D51633" w:rsidP="00D51633">
      <w:pPr>
        <w:jc w:val="both"/>
        <w:rPr>
          <w:rFonts w:ascii="Times New Roman" w:hAnsi="Times New Roman" w:cs="Times New Roman"/>
          <w:b/>
          <w:bCs/>
          <w:sz w:val="24"/>
          <w:szCs w:val="24"/>
        </w:rPr>
      </w:pPr>
      <w:r w:rsidRPr="00741F42">
        <w:rPr>
          <w:rFonts w:ascii="Times New Roman" w:hAnsi="Times New Roman" w:cs="Times New Roman"/>
          <w:b/>
          <w:bCs/>
          <w:sz w:val="24"/>
          <w:szCs w:val="24"/>
        </w:rPr>
        <w:lastRenderedPageBreak/>
        <w:t>2026 m. tyrimas atliktas apklausiant 4670 15–64 metų nuolatinių Lietuvos gyventojų. Tyrimas vykdytas sausio 21–kovo 29 dienomis. Jis finansuotas Europos Sąjungos narkotikų agentūros dotacijos ir valstybės biudžeto lėšomis.</w:t>
      </w:r>
    </w:p>
    <w:p w14:paraId="3E218B09" w14:textId="77777777" w:rsidR="00741F42" w:rsidRPr="00741F42" w:rsidRDefault="00741F42" w:rsidP="00741F42">
      <w:pPr>
        <w:jc w:val="both"/>
        <w:rPr>
          <w:rFonts w:ascii="Times New Roman" w:hAnsi="Times New Roman" w:cs="Times New Roman"/>
          <w:sz w:val="24"/>
          <w:szCs w:val="24"/>
        </w:rPr>
      </w:pPr>
      <w:r w:rsidRPr="00741F42">
        <w:rPr>
          <w:rFonts w:ascii="Times New Roman" w:hAnsi="Times New Roman" w:cs="Times New Roman"/>
          <w:sz w:val="24"/>
          <w:szCs w:val="24"/>
        </w:rPr>
        <w:t>Spaudos konferencijos vaizdo įrašas: </w:t>
      </w:r>
      <w:hyperlink r:id="rId4" w:history="1">
        <w:r w:rsidRPr="00741F42">
          <w:rPr>
            <w:rStyle w:val="Hipersaitas"/>
            <w:rFonts w:ascii="Times New Roman" w:hAnsi="Times New Roman" w:cs="Times New Roman"/>
            <w:sz w:val="24"/>
            <w:szCs w:val="24"/>
          </w:rPr>
          <w:t>https://www.15min.lt/video/spaudos-konferencija-psichoaktyviuju-medziagu-vartojimo-paplitimo-lietuvoje-2004-2026-m-tyrimo-pristatymas-283354</w:t>
        </w:r>
      </w:hyperlink>
    </w:p>
    <w:p w14:paraId="27DFC0B9" w14:textId="77777777" w:rsidR="00741F42" w:rsidRPr="00741F42" w:rsidRDefault="00741F42" w:rsidP="00741F42">
      <w:pPr>
        <w:jc w:val="both"/>
        <w:rPr>
          <w:rFonts w:ascii="Times New Roman" w:hAnsi="Times New Roman" w:cs="Times New Roman"/>
          <w:sz w:val="24"/>
          <w:szCs w:val="24"/>
        </w:rPr>
      </w:pPr>
      <w:r w:rsidRPr="00741F42">
        <w:rPr>
          <w:rFonts w:ascii="Times New Roman" w:hAnsi="Times New Roman" w:cs="Times New Roman"/>
          <w:sz w:val="24"/>
          <w:szCs w:val="24"/>
        </w:rPr>
        <w:t xml:space="preserve">Pristatymo skaidres rasite </w:t>
      </w:r>
      <w:hyperlink r:id="rId5" w:history="1">
        <w:r w:rsidRPr="00741F42">
          <w:rPr>
            <w:rStyle w:val="Hipersaitas"/>
            <w:rFonts w:ascii="Times New Roman" w:hAnsi="Times New Roman" w:cs="Times New Roman"/>
            <w:b/>
            <w:bCs/>
            <w:sz w:val="24"/>
            <w:szCs w:val="24"/>
          </w:rPr>
          <w:t>ČIA: </w:t>
        </w:r>
      </w:hyperlink>
    </w:p>
    <w:p w14:paraId="29FA4CDE" w14:textId="77777777" w:rsidR="00741F42" w:rsidRPr="00741F42" w:rsidRDefault="00741F42" w:rsidP="00D51633">
      <w:pPr>
        <w:jc w:val="both"/>
        <w:rPr>
          <w:rFonts w:ascii="Times New Roman" w:hAnsi="Times New Roman" w:cs="Times New Roman"/>
          <w:sz w:val="24"/>
          <w:szCs w:val="24"/>
        </w:rPr>
      </w:pPr>
    </w:p>
    <w:p w14:paraId="3A45707D" w14:textId="77777777" w:rsidR="00D7343D" w:rsidRPr="00741F42" w:rsidRDefault="00D7343D" w:rsidP="00D51633">
      <w:pPr>
        <w:jc w:val="both"/>
        <w:rPr>
          <w:rFonts w:ascii="Times New Roman" w:hAnsi="Times New Roman" w:cs="Times New Roman"/>
          <w:sz w:val="24"/>
          <w:szCs w:val="24"/>
        </w:rPr>
      </w:pPr>
    </w:p>
    <w:sectPr w:rsidR="00D7343D" w:rsidRPr="00741F4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633"/>
    <w:rsid w:val="00003062"/>
    <w:rsid w:val="000A3CC2"/>
    <w:rsid w:val="0013074A"/>
    <w:rsid w:val="00143FDD"/>
    <w:rsid w:val="001462DD"/>
    <w:rsid w:val="001B7A2D"/>
    <w:rsid w:val="001F3FD0"/>
    <w:rsid w:val="00293862"/>
    <w:rsid w:val="002C5BFE"/>
    <w:rsid w:val="004016CF"/>
    <w:rsid w:val="004F6452"/>
    <w:rsid w:val="00741F42"/>
    <w:rsid w:val="008C47A3"/>
    <w:rsid w:val="00986910"/>
    <w:rsid w:val="00996C1A"/>
    <w:rsid w:val="009E5BC0"/>
    <w:rsid w:val="00AF5247"/>
    <w:rsid w:val="00B415A0"/>
    <w:rsid w:val="00B84A10"/>
    <w:rsid w:val="00C6238B"/>
    <w:rsid w:val="00D173FE"/>
    <w:rsid w:val="00D51633"/>
    <w:rsid w:val="00D7343D"/>
    <w:rsid w:val="00E7011E"/>
    <w:rsid w:val="00EF0455"/>
    <w:rsid w:val="00F479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EE838"/>
  <w15:chartTrackingRefBased/>
  <w15:docId w15:val="{D88B5EE2-D62E-4A29-8749-26E49BD1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516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516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163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163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163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16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16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16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16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163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5163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163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163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163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16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16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16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16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1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16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16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16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16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1633"/>
    <w:rPr>
      <w:i/>
      <w:iCs/>
      <w:color w:val="404040" w:themeColor="text1" w:themeTint="BF"/>
    </w:rPr>
  </w:style>
  <w:style w:type="paragraph" w:styleId="Sraopastraipa">
    <w:name w:val="List Paragraph"/>
    <w:basedOn w:val="prastasis"/>
    <w:uiPriority w:val="34"/>
    <w:qFormat/>
    <w:rsid w:val="00D51633"/>
    <w:pPr>
      <w:ind w:left="720"/>
      <w:contextualSpacing/>
    </w:pPr>
  </w:style>
  <w:style w:type="character" w:styleId="Rykuspabraukimas">
    <w:name w:val="Intense Emphasis"/>
    <w:basedOn w:val="Numatytasispastraiposriftas"/>
    <w:uiPriority w:val="21"/>
    <w:qFormat/>
    <w:rsid w:val="00D51633"/>
    <w:rPr>
      <w:i/>
      <w:iCs/>
      <w:color w:val="0F4761" w:themeColor="accent1" w:themeShade="BF"/>
    </w:rPr>
  </w:style>
  <w:style w:type="paragraph" w:styleId="Iskirtacitata">
    <w:name w:val="Intense Quote"/>
    <w:basedOn w:val="prastasis"/>
    <w:next w:val="prastasis"/>
    <w:link w:val="IskirtacitataDiagrama"/>
    <w:uiPriority w:val="30"/>
    <w:qFormat/>
    <w:rsid w:val="00D516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1633"/>
    <w:rPr>
      <w:i/>
      <w:iCs/>
      <w:color w:val="0F4761" w:themeColor="accent1" w:themeShade="BF"/>
    </w:rPr>
  </w:style>
  <w:style w:type="character" w:styleId="Rykinuoroda">
    <w:name w:val="Intense Reference"/>
    <w:basedOn w:val="Numatytasispastraiposriftas"/>
    <w:uiPriority w:val="32"/>
    <w:qFormat/>
    <w:rsid w:val="00D51633"/>
    <w:rPr>
      <w:b/>
      <w:bCs/>
      <w:smallCaps/>
      <w:color w:val="0F4761" w:themeColor="accent1" w:themeShade="BF"/>
      <w:spacing w:val="5"/>
    </w:rPr>
  </w:style>
  <w:style w:type="paragraph" w:styleId="Pataisymai">
    <w:name w:val="Revision"/>
    <w:hidden/>
    <w:uiPriority w:val="99"/>
    <w:semiHidden/>
    <w:rsid w:val="002C5BFE"/>
    <w:pPr>
      <w:spacing w:after="0" w:line="240" w:lineRule="auto"/>
    </w:pPr>
  </w:style>
  <w:style w:type="character" w:styleId="Komentaronuoroda">
    <w:name w:val="annotation reference"/>
    <w:basedOn w:val="Numatytasispastraiposriftas"/>
    <w:uiPriority w:val="99"/>
    <w:semiHidden/>
    <w:unhideWhenUsed/>
    <w:rsid w:val="00F4795C"/>
    <w:rPr>
      <w:sz w:val="16"/>
      <w:szCs w:val="16"/>
    </w:rPr>
  </w:style>
  <w:style w:type="paragraph" w:styleId="Komentarotekstas">
    <w:name w:val="annotation text"/>
    <w:basedOn w:val="prastasis"/>
    <w:link w:val="KomentarotekstasDiagrama"/>
    <w:uiPriority w:val="99"/>
    <w:unhideWhenUsed/>
    <w:rsid w:val="00F479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795C"/>
    <w:rPr>
      <w:sz w:val="20"/>
      <w:szCs w:val="20"/>
    </w:rPr>
  </w:style>
  <w:style w:type="paragraph" w:styleId="Komentarotema">
    <w:name w:val="annotation subject"/>
    <w:basedOn w:val="Komentarotekstas"/>
    <w:next w:val="Komentarotekstas"/>
    <w:link w:val="KomentarotemaDiagrama"/>
    <w:uiPriority w:val="99"/>
    <w:semiHidden/>
    <w:unhideWhenUsed/>
    <w:rsid w:val="00F4795C"/>
    <w:rPr>
      <w:b/>
      <w:bCs/>
    </w:rPr>
  </w:style>
  <w:style w:type="character" w:customStyle="1" w:styleId="KomentarotemaDiagrama">
    <w:name w:val="Komentaro tema Diagrama"/>
    <w:basedOn w:val="KomentarotekstasDiagrama"/>
    <w:link w:val="Komentarotema"/>
    <w:uiPriority w:val="99"/>
    <w:semiHidden/>
    <w:rsid w:val="00F4795C"/>
    <w:rPr>
      <w:b/>
      <w:bCs/>
      <w:sz w:val="20"/>
      <w:szCs w:val="20"/>
    </w:rPr>
  </w:style>
  <w:style w:type="character" w:styleId="Hipersaitas">
    <w:name w:val="Hyperlink"/>
    <w:basedOn w:val="Numatytasispastraiposriftas"/>
    <w:uiPriority w:val="99"/>
    <w:unhideWhenUsed/>
    <w:rsid w:val="00741F42"/>
    <w:rPr>
      <w:color w:val="467886" w:themeColor="hyperlink"/>
      <w:u w:val="single"/>
    </w:rPr>
  </w:style>
  <w:style w:type="character" w:styleId="Neapdorotaspaminjimas">
    <w:name w:val="Unresolved Mention"/>
    <w:basedOn w:val="Numatytasispastraiposriftas"/>
    <w:uiPriority w:val="99"/>
    <w:semiHidden/>
    <w:unhideWhenUsed/>
    <w:rsid w:val="00741F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ntakd.lrv.lt/public/canonical/1789374899/1922/Psichoaktyvi%C5%B3j%C5%B3%20med%C5%BEiag%C5%B3%20vartojimo%20paplitimo%20Lietuvoje%202026%20metais%20tyrimo%20pristatymas.pdf" TargetMode="External"/><Relationship Id="rId4" Type="http://schemas.openxmlformats.org/officeDocument/2006/relationships/hyperlink" Target="https://www.15min.lt/video/spaudos-konferencija-psichoaktyviuju-medziagu-vartojimo-paplitimo-lietuvoje-2004-2026-m-tyrimo-pristatymas-283354"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4298</Words>
  <Characters>2451</Characters>
  <Application>Microsoft Office Word</Application>
  <DocSecurity>0</DocSecurity>
  <Lines>20</Lines>
  <Paragraphs>13</Paragraphs>
  <ScaleCrop>false</ScaleCrop>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komunikacija</dc:creator>
  <cp:keywords/>
  <dc:description/>
  <cp:lastModifiedBy>komunikacija</cp:lastModifiedBy>
  <cp:revision>3</cp:revision>
  <dcterms:created xsi:type="dcterms:W3CDTF">2026-09-14T10:56:00Z</dcterms:created>
  <dcterms:modified xsi:type="dcterms:W3CDTF">2026-09-14T11:02:00Z</dcterms:modified>
</cp:coreProperties>
</file>