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D802" w14:textId="1099871E" w:rsidR="0009219B" w:rsidRPr="00AD428C" w:rsidRDefault="0042105D" w:rsidP="00855583">
      <w:pPr>
        <w:spacing w:after="0" w:line="240" w:lineRule="auto"/>
        <w:jc w:val="both"/>
        <w:rPr>
          <w:rFonts w:ascii="Calibri" w:eastAsia="Times New Roman" w:hAnsi="Calibri" w:cs="Calibri"/>
          <w:kern w:val="0"/>
          <w:sz w:val="16"/>
          <w:szCs w:val="16"/>
          <w:lang w:eastAsia="en-GB"/>
          <w14:ligatures w14:val="none"/>
        </w:rPr>
      </w:pPr>
      <w:r>
        <w:rPr>
          <w:rFonts w:ascii="Calibri" w:eastAsia="Times New Roman" w:hAnsi="Calibri" w:cs="Calibri"/>
          <w:kern w:val="0"/>
          <w:sz w:val="16"/>
          <w:szCs w:val="16"/>
          <w:lang w:eastAsia="en-GB"/>
          <w14:ligatures w14:val="none"/>
        </w:rPr>
        <w:t>Pranešimas spaudai</w:t>
      </w:r>
    </w:p>
    <w:p w14:paraId="14DEAE71" w14:textId="35DC2E52" w:rsidR="003417BE" w:rsidRPr="00AD428C" w:rsidRDefault="003417BE" w:rsidP="00855583">
      <w:pPr>
        <w:spacing w:after="0" w:line="240" w:lineRule="auto"/>
        <w:jc w:val="both"/>
        <w:rPr>
          <w:rFonts w:ascii="Calibri" w:eastAsia="Times New Roman" w:hAnsi="Calibri" w:cs="Calibri"/>
          <w:kern w:val="0"/>
          <w:sz w:val="16"/>
          <w:szCs w:val="16"/>
          <w:lang w:eastAsia="en-GB"/>
          <w14:ligatures w14:val="none"/>
        </w:rPr>
      </w:pPr>
      <w:r w:rsidRPr="00AD428C">
        <w:rPr>
          <w:rFonts w:ascii="Calibri" w:eastAsia="Times New Roman" w:hAnsi="Calibri" w:cs="Calibri"/>
          <w:kern w:val="0"/>
          <w:sz w:val="16"/>
          <w:szCs w:val="16"/>
          <w:lang w:eastAsia="en-GB"/>
          <w14:ligatures w14:val="none"/>
        </w:rPr>
        <w:t>202</w:t>
      </w:r>
      <w:r w:rsidR="00460656" w:rsidRPr="00AD428C">
        <w:rPr>
          <w:rFonts w:ascii="Calibri" w:eastAsia="Times New Roman" w:hAnsi="Calibri" w:cs="Calibri"/>
          <w:kern w:val="0"/>
          <w:sz w:val="16"/>
          <w:szCs w:val="16"/>
          <w:lang w:eastAsia="en-GB"/>
          <w14:ligatures w14:val="none"/>
        </w:rPr>
        <w:t>6</w:t>
      </w:r>
      <w:r w:rsidRPr="00AD428C">
        <w:rPr>
          <w:rFonts w:ascii="Calibri" w:eastAsia="Times New Roman" w:hAnsi="Calibri" w:cs="Calibri"/>
          <w:kern w:val="0"/>
          <w:sz w:val="16"/>
          <w:szCs w:val="16"/>
          <w:lang w:eastAsia="en-GB"/>
          <w14:ligatures w14:val="none"/>
        </w:rPr>
        <w:t xml:space="preserve"> m. </w:t>
      </w:r>
      <w:r w:rsidR="00357C22" w:rsidRPr="00AD428C">
        <w:rPr>
          <w:rFonts w:ascii="Calibri" w:eastAsia="Times New Roman" w:hAnsi="Calibri" w:cs="Calibri"/>
          <w:kern w:val="0"/>
          <w:sz w:val="16"/>
          <w:szCs w:val="16"/>
          <w:lang w:eastAsia="en-GB"/>
          <w14:ligatures w14:val="none"/>
        </w:rPr>
        <w:t xml:space="preserve">rugsėjo </w:t>
      </w:r>
      <w:r w:rsidR="00AD428C" w:rsidRPr="00AD428C">
        <w:rPr>
          <w:rFonts w:ascii="Calibri" w:eastAsia="Times New Roman" w:hAnsi="Calibri" w:cs="Calibri"/>
          <w:kern w:val="0"/>
          <w:sz w:val="16"/>
          <w:szCs w:val="16"/>
          <w:lang w:eastAsia="en-GB"/>
          <w14:ligatures w14:val="none"/>
        </w:rPr>
        <w:t>1</w:t>
      </w:r>
      <w:r w:rsidR="00FB4CD8">
        <w:rPr>
          <w:rFonts w:ascii="Calibri" w:eastAsia="Times New Roman" w:hAnsi="Calibri" w:cs="Calibri"/>
          <w:kern w:val="0"/>
          <w:sz w:val="16"/>
          <w:szCs w:val="16"/>
          <w:lang w:eastAsia="en-GB"/>
          <w14:ligatures w14:val="none"/>
        </w:rPr>
        <w:t>4</w:t>
      </w:r>
      <w:r w:rsidRPr="00AD428C">
        <w:rPr>
          <w:rFonts w:ascii="Calibri" w:eastAsia="Times New Roman" w:hAnsi="Calibri" w:cs="Calibri"/>
          <w:kern w:val="0"/>
          <w:sz w:val="16"/>
          <w:szCs w:val="16"/>
          <w:lang w:eastAsia="en-GB"/>
          <w14:ligatures w14:val="none"/>
        </w:rPr>
        <w:t xml:space="preserve"> d. </w:t>
      </w:r>
    </w:p>
    <w:p w14:paraId="76C0A4AA" w14:textId="77777777" w:rsidR="00855583" w:rsidRPr="00AD428C" w:rsidRDefault="00855583" w:rsidP="00855583">
      <w:pPr>
        <w:spacing w:after="0" w:line="240" w:lineRule="auto"/>
        <w:jc w:val="both"/>
        <w:rPr>
          <w:rFonts w:ascii="Calibri" w:eastAsia="Times New Roman" w:hAnsi="Calibri" w:cs="Calibri"/>
          <w:kern w:val="0"/>
          <w:sz w:val="18"/>
          <w:szCs w:val="18"/>
          <w:lang w:eastAsia="en-GB"/>
          <w14:ligatures w14:val="none"/>
        </w:rPr>
      </w:pPr>
    </w:p>
    <w:p w14:paraId="5DDB4E47" w14:textId="77777777" w:rsidR="00B65B6F" w:rsidRDefault="00B65B6F" w:rsidP="00B171C5">
      <w:pPr>
        <w:jc w:val="both"/>
        <w:rPr>
          <w:rFonts w:ascii="Calibri" w:eastAsia="PMingLiU" w:hAnsi="Calibri" w:cs="Times New Roman"/>
          <w:b/>
          <w:bCs/>
          <w:szCs w:val="24"/>
          <w:lang w:eastAsia="zh-TW"/>
        </w:rPr>
      </w:pPr>
      <w:r w:rsidRPr="00B65B6F">
        <w:rPr>
          <w:rFonts w:ascii="Calibri" w:eastAsia="PMingLiU" w:hAnsi="Calibri" w:cs="Times New Roman"/>
          <w:b/>
          <w:bCs/>
          <w:szCs w:val="24"/>
          <w:lang w:eastAsia="zh-TW"/>
        </w:rPr>
        <w:t>Vidutinį atlyginimą gaunantis pirkėjas gali įsigyti 11 proc. daugiau maisto nei prieš metus</w:t>
      </w:r>
    </w:p>
    <w:p w14:paraId="0EBE61D0" w14:textId="6C4994B8" w:rsidR="00B171C5" w:rsidRPr="00ED2695" w:rsidRDefault="00B171C5" w:rsidP="00B171C5">
      <w:pPr>
        <w:jc w:val="both"/>
        <w:rPr>
          <w:rFonts w:ascii="Calibri" w:eastAsia="PMingLiU" w:hAnsi="Calibri" w:cs="Times New Roman"/>
          <w:b/>
          <w:bCs/>
          <w:szCs w:val="24"/>
          <w:lang w:eastAsia="zh-TW"/>
        </w:rPr>
      </w:pPr>
      <w:r w:rsidRPr="00AD428C">
        <w:rPr>
          <w:rFonts w:ascii="Calibri" w:eastAsia="PMingLiU" w:hAnsi="Calibri" w:cs="Times New Roman"/>
          <w:b/>
          <w:bCs/>
          <w:szCs w:val="24"/>
          <w:lang w:eastAsia="zh-TW"/>
        </w:rPr>
        <w:t xml:space="preserve">Vidutiniam atlyginimui „į rankas“ per metus išaugus 9,1 proc., maisto produktai ir nealkoholiniai gėrimai Lietuvoje atpigo daugiau nei 2 proc., rodo naujausi Valstybės duomenų agentūros skelbiami duomenys. </w:t>
      </w:r>
      <w:r w:rsidR="00E215EF" w:rsidRPr="00E215EF">
        <w:rPr>
          <w:rFonts w:ascii="Calibri" w:eastAsia="PMingLiU" w:hAnsi="Calibri" w:cs="Times New Roman"/>
          <w:b/>
          <w:bCs/>
          <w:szCs w:val="24"/>
          <w:lang w:eastAsia="zh-TW"/>
        </w:rPr>
        <w:t>Tai reiškia, kad tą pačią išlaidų dalį skirdamas maistui ir už jį mokėdamas mažiau, statistinis šalies gyventojas jo gali įsigyti 11,4 proc. daugiau nei prieš metus arba sutaupytus pinigus skirti kitiems pirkiniams ar paslaugoms.</w:t>
      </w:r>
      <w:r w:rsidR="00ED2695">
        <w:rPr>
          <w:rFonts w:ascii="Calibri" w:eastAsia="PMingLiU" w:hAnsi="Calibri" w:cs="Times New Roman"/>
          <w:b/>
          <w:bCs/>
          <w:szCs w:val="24"/>
          <w:lang w:eastAsia="zh-TW"/>
        </w:rPr>
        <w:t xml:space="preserve"> </w:t>
      </w:r>
      <w:r w:rsidR="00CB37BA" w:rsidRPr="00CB37BA">
        <w:rPr>
          <w:rFonts w:ascii="Calibri" w:eastAsia="PMingLiU" w:hAnsi="Calibri" w:cs="Times New Roman"/>
          <w:b/>
          <w:bCs/>
          <w:color w:val="000000" w:themeColor="text1"/>
          <w:szCs w:val="24"/>
          <w:lang w:eastAsia="zh-TW"/>
        </w:rPr>
        <w:t>Labiausiai</w:t>
      </w:r>
      <w:r w:rsidRPr="00CB37BA">
        <w:rPr>
          <w:rFonts w:ascii="Calibri" w:eastAsia="PMingLiU" w:hAnsi="Calibri" w:cs="Times New Roman"/>
          <w:b/>
          <w:bCs/>
          <w:color w:val="000000" w:themeColor="text1"/>
          <w:szCs w:val="24"/>
          <w:lang w:eastAsia="zh-TW"/>
        </w:rPr>
        <w:t xml:space="preserve"> pigo šviežio maisto produktai, kasdien atsiduriantys pirkėjų krepšeliuose.  </w:t>
      </w:r>
    </w:p>
    <w:p w14:paraId="1BB71D77" w14:textId="77777777" w:rsidR="009D6127" w:rsidRDefault="00B171C5" w:rsidP="00B171C5">
      <w:pPr>
        <w:jc w:val="both"/>
        <w:rPr>
          <w:rFonts w:ascii="Calibri" w:eastAsia="PMingLiU" w:hAnsi="Calibri" w:cs="Times New Roman"/>
          <w:szCs w:val="24"/>
          <w:lang w:eastAsia="zh-TW"/>
        </w:rPr>
      </w:pPr>
      <w:r w:rsidRPr="00AD428C">
        <w:rPr>
          <w:rFonts w:ascii="Calibri" w:eastAsia="PMingLiU" w:hAnsi="Calibri" w:cs="Times New Roman"/>
          <w:szCs w:val="24"/>
          <w:lang w:eastAsia="zh-TW"/>
        </w:rPr>
        <w:t xml:space="preserve">„Atsižvelgiant į statistinį atlyginimų ir maistų kainų pokytį, perkamoji dirbančių gyventojų galia maisto atžvilgiu per metus padidėjo apie 11,4 proc. – mūsų skaičiavimais, toks augimas nebuvo fiksuotas bent pastaruosius 5 metus. </w:t>
      </w:r>
      <w:r w:rsidR="002C41B6">
        <w:rPr>
          <w:rFonts w:ascii="Calibri" w:eastAsia="PMingLiU" w:hAnsi="Calibri" w:cs="Times New Roman"/>
          <w:szCs w:val="24"/>
          <w:lang w:eastAsia="zh-TW"/>
        </w:rPr>
        <w:t>N</w:t>
      </w:r>
      <w:r w:rsidRPr="00AD428C">
        <w:rPr>
          <w:rFonts w:ascii="Calibri" w:eastAsia="PMingLiU" w:hAnsi="Calibri" w:cs="Times New Roman"/>
          <w:szCs w:val="24"/>
          <w:lang w:eastAsia="zh-TW"/>
        </w:rPr>
        <w:t>epaisant drastiško energetinių išteklių kainų šuolio, maisto produktų gamintojams ir prekybininkams bendromis pastangomis šiemet pavyko ne tik užtikrinti stabilų</w:t>
      </w:r>
      <w:r w:rsidR="00AD428C" w:rsidRPr="00AD428C">
        <w:rPr>
          <w:rFonts w:ascii="Calibri" w:eastAsia="PMingLiU" w:hAnsi="Calibri" w:cs="Times New Roman"/>
          <w:szCs w:val="24"/>
          <w:lang w:eastAsia="zh-TW"/>
        </w:rPr>
        <w:t xml:space="preserve"> </w:t>
      </w:r>
      <w:r w:rsidRPr="00AD428C">
        <w:rPr>
          <w:rFonts w:ascii="Calibri" w:eastAsia="PMingLiU" w:hAnsi="Calibri" w:cs="Times New Roman"/>
          <w:szCs w:val="24"/>
          <w:lang w:eastAsia="zh-TW"/>
        </w:rPr>
        <w:t>kainų lygį – didžioji dalis kasdienio vartojimo produktų netgi pigo</w:t>
      </w:r>
      <w:r w:rsidR="00FE42D3">
        <w:rPr>
          <w:rFonts w:ascii="Calibri" w:eastAsia="PMingLiU" w:hAnsi="Calibri" w:cs="Times New Roman"/>
          <w:szCs w:val="24"/>
          <w:lang w:eastAsia="zh-TW"/>
        </w:rPr>
        <w:t xml:space="preserve">. </w:t>
      </w:r>
    </w:p>
    <w:p w14:paraId="6073C1BB" w14:textId="2C31981E" w:rsidR="002A4670" w:rsidRPr="00AD428C" w:rsidRDefault="002C41B6" w:rsidP="00B171C5">
      <w:pPr>
        <w:jc w:val="both"/>
        <w:rPr>
          <w:rFonts w:ascii="Calibri" w:eastAsia="PMingLiU" w:hAnsi="Calibri" w:cs="Times New Roman"/>
          <w:szCs w:val="24"/>
          <w:lang w:eastAsia="zh-TW"/>
        </w:rPr>
      </w:pPr>
      <w:r>
        <w:rPr>
          <w:rFonts w:ascii="Calibri" w:eastAsia="PMingLiU" w:hAnsi="Calibri" w:cs="Times New Roman"/>
          <w:szCs w:val="24"/>
          <w:lang w:eastAsia="zh-TW"/>
        </w:rPr>
        <w:t>Skaičiavimus pavertus prakti</w:t>
      </w:r>
      <w:r w:rsidR="002A4670">
        <w:rPr>
          <w:rFonts w:ascii="Calibri" w:eastAsia="PMingLiU" w:hAnsi="Calibri" w:cs="Times New Roman"/>
          <w:szCs w:val="24"/>
          <w:lang w:eastAsia="zh-TW"/>
        </w:rPr>
        <w:t>ka</w:t>
      </w:r>
      <w:r>
        <w:rPr>
          <w:rFonts w:ascii="Calibri" w:eastAsia="PMingLiU" w:hAnsi="Calibri" w:cs="Times New Roman"/>
          <w:szCs w:val="24"/>
          <w:lang w:eastAsia="zh-TW"/>
        </w:rPr>
        <w:t xml:space="preserve">, </w:t>
      </w:r>
      <w:r w:rsidR="002A4670">
        <w:rPr>
          <w:rFonts w:ascii="Calibri" w:eastAsia="PMingLiU" w:hAnsi="Calibri" w:cs="Times New Roman"/>
          <w:szCs w:val="24"/>
          <w:lang w:eastAsia="zh-TW"/>
        </w:rPr>
        <w:t xml:space="preserve">vieniems tai reiškia galimybę </w:t>
      </w:r>
      <w:r w:rsidR="002A4670" w:rsidRPr="002A4670">
        <w:rPr>
          <w:rFonts w:ascii="Calibri" w:eastAsia="PMingLiU" w:hAnsi="Calibri" w:cs="Times New Roman"/>
          <w:szCs w:val="24"/>
          <w:lang w:eastAsia="zh-TW"/>
        </w:rPr>
        <w:t>daugiau nei dešimtadaliu papildyti įprastų pirkinių krepšelį,</w:t>
      </w:r>
      <w:r w:rsidR="002A4670">
        <w:rPr>
          <w:rFonts w:ascii="Calibri" w:eastAsia="PMingLiU" w:hAnsi="Calibri" w:cs="Times New Roman"/>
          <w:szCs w:val="24"/>
          <w:lang w:eastAsia="zh-TW"/>
        </w:rPr>
        <w:t xml:space="preserve"> pavyzdžiui, viena brangesne ar keliomis pigesnėmis maisto prekėmis, </w:t>
      </w:r>
      <w:r w:rsidR="00005E94">
        <w:rPr>
          <w:rFonts w:ascii="Calibri" w:eastAsia="PMingLiU" w:hAnsi="Calibri" w:cs="Times New Roman"/>
          <w:szCs w:val="24"/>
          <w:lang w:eastAsia="zh-TW"/>
        </w:rPr>
        <w:t>kitiems – nekeitus maisto vartojimo įpročių, sutaupytą sumą paskirti kitiems tikslams</w:t>
      </w:r>
      <w:r w:rsidR="00B171C5" w:rsidRPr="00AD428C">
        <w:rPr>
          <w:rFonts w:ascii="Calibri" w:eastAsia="PMingLiU" w:hAnsi="Calibri" w:cs="Times New Roman"/>
          <w:szCs w:val="24"/>
          <w:lang w:eastAsia="zh-TW"/>
        </w:rPr>
        <w:t xml:space="preserve">“, – sako </w:t>
      </w:r>
      <w:r w:rsidR="00AD428C" w:rsidRPr="00AD428C">
        <w:rPr>
          <w:rFonts w:ascii="Calibri" w:eastAsia="PMingLiU" w:hAnsi="Calibri" w:cs="Times New Roman"/>
          <w:szCs w:val="24"/>
          <w:lang w:eastAsia="zh-TW"/>
        </w:rPr>
        <w:t xml:space="preserve">Darius </w:t>
      </w:r>
      <w:proofErr w:type="spellStart"/>
      <w:r w:rsidR="00AD428C" w:rsidRPr="00AD428C">
        <w:rPr>
          <w:rFonts w:ascii="Calibri" w:eastAsia="PMingLiU" w:hAnsi="Calibri" w:cs="Times New Roman"/>
          <w:szCs w:val="24"/>
          <w:lang w:eastAsia="zh-TW"/>
        </w:rPr>
        <w:t>Undzėnas</w:t>
      </w:r>
      <w:proofErr w:type="spellEnd"/>
      <w:r w:rsidR="00AD428C" w:rsidRPr="00AD428C">
        <w:rPr>
          <w:rFonts w:ascii="Calibri" w:eastAsia="PMingLiU" w:hAnsi="Calibri" w:cs="Times New Roman"/>
          <w:szCs w:val="24"/>
          <w:lang w:eastAsia="zh-TW"/>
        </w:rPr>
        <w:t>, „Maximos“ Finansų ir buhalterinės apskaitos departamento direktorius.</w:t>
      </w:r>
      <w:r w:rsidR="002A4670" w:rsidRPr="002A4670">
        <w:rPr>
          <w:rFonts w:ascii="Calibri" w:eastAsia="PMingLiU" w:hAnsi="Calibri" w:cs="Times New Roman"/>
          <w:szCs w:val="24"/>
          <w:lang w:eastAsia="zh-TW"/>
        </w:rPr>
        <w:t> </w:t>
      </w:r>
    </w:p>
    <w:p w14:paraId="59E7B799" w14:textId="4BE5DC37" w:rsidR="00CF650F" w:rsidRDefault="00B171C5" w:rsidP="00B171C5">
      <w:pPr>
        <w:jc w:val="both"/>
        <w:rPr>
          <w:rFonts w:ascii="Calibri" w:eastAsia="PMingLiU" w:hAnsi="Calibri" w:cs="Times New Roman"/>
          <w:szCs w:val="24"/>
          <w:lang w:eastAsia="zh-TW"/>
        </w:rPr>
      </w:pPr>
      <w:r w:rsidRPr="00AD428C">
        <w:rPr>
          <w:rFonts w:ascii="Calibri" w:eastAsia="PMingLiU" w:hAnsi="Calibri" w:cs="Times New Roman"/>
          <w:szCs w:val="24"/>
          <w:lang w:eastAsia="zh-TW"/>
        </w:rPr>
        <w:t xml:space="preserve">„Maximos“ skaičiavimais, vidutinės maisto produktų ir nealkoholinių gėrimų </w:t>
      </w:r>
      <w:r w:rsidR="00AD428C" w:rsidRPr="00AD428C">
        <w:rPr>
          <w:rFonts w:ascii="Calibri" w:eastAsia="PMingLiU" w:hAnsi="Calibri" w:cs="Times New Roman"/>
          <w:szCs w:val="24"/>
          <w:lang w:eastAsia="zh-TW"/>
        </w:rPr>
        <w:t xml:space="preserve">įprastos </w:t>
      </w:r>
      <w:r w:rsidRPr="00AD428C">
        <w:rPr>
          <w:rFonts w:ascii="Calibri" w:eastAsia="PMingLiU" w:hAnsi="Calibri" w:cs="Times New Roman"/>
          <w:szCs w:val="24"/>
          <w:lang w:eastAsia="zh-TW"/>
        </w:rPr>
        <w:t xml:space="preserve">kainos prekybos tinklo parduotuvėse rugpjūtį buvo 3,9 proc. mažesnės nei prieš metus ir </w:t>
      </w:r>
      <w:r w:rsidR="0042105D">
        <w:rPr>
          <w:rFonts w:ascii="Calibri" w:eastAsia="PMingLiU" w:hAnsi="Calibri" w:cs="Times New Roman"/>
          <w:szCs w:val="24"/>
          <w:lang w:val="en-US" w:eastAsia="zh-TW"/>
        </w:rPr>
        <w:t>2,1</w:t>
      </w:r>
      <w:r w:rsidRPr="00AD428C">
        <w:rPr>
          <w:rFonts w:ascii="Calibri" w:eastAsia="PMingLiU" w:hAnsi="Calibri" w:cs="Times New Roman"/>
          <w:szCs w:val="24"/>
          <w:lang w:eastAsia="zh-TW"/>
        </w:rPr>
        <w:t xml:space="preserve"> proc. mažesnės nei liepos mėnesį.</w:t>
      </w:r>
      <w:r w:rsidR="00AD428C" w:rsidRPr="00AD428C">
        <w:rPr>
          <w:rFonts w:ascii="Calibri" w:eastAsia="PMingLiU" w:hAnsi="Calibri" w:cs="Times New Roman"/>
          <w:szCs w:val="24"/>
          <w:lang w:eastAsia="zh-TW"/>
        </w:rPr>
        <w:t xml:space="preserve"> </w:t>
      </w:r>
    </w:p>
    <w:p w14:paraId="0062CF74" w14:textId="655F13FA" w:rsidR="00B171C5" w:rsidRPr="00AD428C" w:rsidRDefault="00AD428C" w:rsidP="00B171C5">
      <w:pPr>
        <w:jc w:val="both"/>
        <w:rPr>
          <w:rFonts w:ascii="Calibri" w:eastAsia="PMingLiU" w:hAnsi="Calibri" w:cs="Times New Roman"/>
          <w:szCs w:val="24"/>
          <w:lang w:eastAsia="zh-TW"/>
        </w:rPr>
      </w:pPr>
      <w:r w:rsidRPr="00AD428C">
        <w:rPr>
          <w:rFonts w:ascii="Calibri" w:eastAsia="PMingLiU" w:hAnsi="Calibri" w:cs="Times New Roman"/>
          <w:szCs w:val="24"/>
          <w:lang w:eastAsia="zh-TW"/>
        </w:rPr>
        <w:t xml:space="preserve">Tuo metu Valstybės duomenų agentūros duomenimis, maisto produktai ir nealkoholiniai gėrimai rugpjūčio mėnesį Lietuvoje kainavo vidutiniškai 2,1 proc. mažiau nei </w:t>
      </w:r>
      <w:r w:rsidR="00CB37BA">
        <w:rPr>
          <w:rFonts w:ascii="Calibri" w:eastAsia="PMingLiU" w:hAnsi="Calibri" w:cs="Times New Roman"/>
          <w:szCs w:val="24"/>
          <w:lang w:eastAsia="zh-TW"/>
        </w:rPr>
        <w:t>2025 m. tuo pačiu laikotarpiu</w:t>
      </w:r>
      <w:r w:rsidRPr="00AD428C">
        <w:rPr>
          <w:rFonts w:ascii="Calibri" w:eastAsia="PMingLiU" w:hAnsi="Calibri" w:cs="Times New Roman"/>
          <w:szCs w:val="24"/>
          <w:lang w:eastAsia="zh-TW"/>
        </w:rPr>
        <w:t xml:space="preserve">. </w:t>
      </w:r>
    </w:p>
    <w:p w14:paraId="69BD4DDC" w14:textId="0511D068" w:rsidR="00B171C5" w:rsidRPr="00AD428C" w:rsidRDefault="00B171C5" w:rsidP="00B171C5">
      <w:pPr>
        <w:jc w:val="both"/>
        <w:rPr>
          <w:rFonts w:ascii="Calibri" w:eastAsia="PMingLiU" w:hAnsi="Calibri" w:cs="Times New Roman"/>
          <w:szCs w:val="24"/>
          <w:lang w:eastAsia="zh-TW"/>
        </w:rPr>
      </w:pPr>
      <w:r w:rsidRPr="00AD428C">
        <w:rPr>
          <w:rFonts w:ascii="Calibri" w:eastAsia="PMingLiU" w:hAnsi="Calibri" w:cs="Times New Roman"/>
          <w:szCs w:val="24"/>
          <w:lang w:eastAsia="zh-TW"/>
        </w:rPr>
        <w:t xml:space="preserve">Pasak </w:t>
      </w:r>
      <w:r w:rsidR="00AD428C" w:rsidRPr="00AD428C">
        <w:rPr>
          <w:rFonts w:ascii="Calibri" w:eastAsia="PMingLiU" w:hAnsi="Calibri" w:cs="Times New Roman"/>
          <w:szCs w:val="24"/>
          <w:lang w:eastAsia="zh-TW"/>
        </w:rPr>
        <w:t xml:space="preserve">D. </w:t>
      </w:r>
      <w:proofErr w:type="spellStart"/>
      <w:r w:rsidR="00AD428C" w:rsidRPr="00AD428C">
        <w:rPr>
          <w:rFonts w:ascii="Calibri" w:eastAsia="PMingLiU" w:hAnsi="Calibri" w:cs="Times New Roman"/>
          <w:szCs w:val="24"/>
          <w:lang w:eastAsia="zh-TW"/>
        </w:rPr>
        <w:t>Undzėno</w:t>
      </w:r>
      <w:proofErr w:type="spellEnd"/>
      <w:r w:rsidRPr="00AD428C">
        <w:rPr>
          <w:rFonts w:ascii="Calibri" w:eastAsia="PMingLiU" w:hAnsi="Calibri" w:cs="Times New Roman"/>
          <w:szCs w:val="24"/>
          <w:lang w:eastAsia="zh-TW"/>
        </w:rPr>
        <w:t>, didžiausias kainų nuosmukis užfiksuotas šviežio maisto gaminių kategorijose: „Labiausiai pigo kasdienio vartojimo produktai</w:t>
      </w:r>
      <w:r w:rsidR="00AD428C" w:rsidRPr="00AD428C">
        <w:rPr>
          <w:rFonts w:ascii="Calibri" w:eastAsia="PMingLiU" w:hAnsi="Calibri" w:cs="Times New Roman"/>
          <w:szCs w:val="24"/>
          <w:lang w:eastAsia="zh-TW"/>
        </w:rPr>
        <w:t xml:space="preserve">, tokie kaip kiauliena, pienas ir jo gaminiai, </w:t>
      </w:r>
      <w:r w:rsidRPr="00AD428C">
        <w:rPr>
          <w:rFonts w:ascii="Calibri" w:eastAsia="PMingLiU" w:hAnsi="Calibri" w:cs="Times New Roman"/>
          <w:szCs w:val="24"/>
          <w:lang w:eastAsia="zh-TW"/>
        </w:rPr>
        <w:t>taip pat duona, vaisiai ir daržovės.“</w:t>
      </w:r>
    </w:p>
    <w:p w14:paraId="1E60DE05" w14:textId="0BDDFE27" w:rsidR="00B171C5" w:rsidRPr="00AD428C" w:rsidRDefault="00B171C5" w:rsidP="00B171C5">
      <w:pPr>
        <w:jc w:val="both"/>
        <w:rPr>
          <w:rFonts w:ascii="Calibri" w:eastAsia="PMingLiU" w:hAnsi="Calibri" w:cs="Times New Roman"/>
          <w:szCs w:val="24"/>
          <w:lang w:eastAsia="zh-TW"/>
        </w:rPr>
      </w:pPr>
      <w:r w:rsidRPr="00AD428C">
        <w:rPr>
          <w:rFonts w:ascii="Calibri" w:eastAsia="PMingLiU" w:hAnsi="Calibri" w:cs="Times New Roman"/>
          <w:szCs w:val="24"/>
          <w:lang w:eastAsia="zh-TW"/>
        </w:rPr>
        <w:t xml:space="preserve">Pieno produktai „Maximos“ parduotuvėse rugpjūtį kainavo 6,5 proc. mažiau nei prieš metus, mėsos gaminiai atpigo 8,7 proc., šviežia kiauliena – 30,6 proc., kulinarijos gaminiai – 6,9 proc., duonos gaminiai – 11,8 proc., daržovės – 4,8 proc., vaisiai – 8,7 proc., </w:t>
      </w:r>
      <w:r w:rsidR="00AD428C" w:rsidRPr="00AD428C">
        <w:rPr>
          <w:rFonts w:ascii="Calibri" w:eastAsia="PMingLiU" w:hAnsi="Calibri" w:cs="Times New Roman"/>
          <w:szCs w:val="24"/>
          <w:lang w:eastAsia="zh-TW"/>
        </w:rPr>
        <w:t xml:space="preserve">o </w:t>
      </w:r>
      <w:r w:rsidRPr="00AD428C">
        <w:rPr>
          <w:rFonts w:ascii="Calibri" w:eastAsia="PMingLiU" w:hAnsi="Calibri" w:cs="Times New Roman"/>
          <w:szCs w:val="24"/>
          <w:lang w:eastAsia="zh-TW"/>
        </w:rPr>
        <w:t xml:space="preserve">konservuotos bakalėjos produktai – 6,5 </w:t>
      </w:r>
      <w:r w:rsidR="00AD428C" w:rsidRPr="00AD428C">
        <w:rPr>
          <w:rFonts w:ascii="Calibri" w:eastAsia="PMingLiU" w:hAnsi="Calibri" w:cs="Times New Roman"/>
          <w:szCs w:val="24"/>
          <w:lang w:eastAsia="zh-TW"/>
        </w:rPr>
        <w:t>proc</w:t>
      </w:r>
      <w:r w:rsidRPr="00AD428C">
        <w:rPr>
          <w:rFonts w:ascii="Calibri" w:eastAsia="PMingLiU" w:hAnsi="Calibri" w:cs="Times New Roman"/>
          <w:szCs w:val="24"/>
          <w:lang w:eastAsia="zh-TW"/>
        </w:rPr>
        <w:t>.</w:t>
      </w:r>
    </w:p>
    <w:p w14:paraId="72DAEC0C" w14:textId="3282CD9B" w:rsidR="00B171C5" w:rsidRPr="00AD428C" w:rsidRDefault="00B171C5" w:rsidP="00B171C5">
      <w:pPr>
        <w:jc w:val="both"/>
        <w:rPr>
          <w:rFonts w:ascii="Calibri" w:eastAsia="PMingLiU" w:hAnsi="Calibri" w:cs="Times New Roman"/>
          <w:szCs w:val="24"/>
          <w:lang w:eastAsia="zh-TW"/>
        </w:rPr>
      </w:pPr>
      <w:r w:rsidRPr="00AD428C">
        <w:rPr>
          <w:rFonts w:ascii="Calibri" w:eastAsia="PMingLiU" w:hAnsi="Calibri" w:cs="Times New Roman"/>
          <w:szCs w:val="24"/>
          <w:lang w:eastAsia="zh-TW"/>
        </w:rPr>
        <w:t xml:space="preserve">Ekonomikos ekspertų teigimu, išaugę atlyginimai ir sumažėjusios </w:t>
      </w:r>
      <w:r w:rsidR="00CF650F">
        <w:rPr>
          <w:rFonts w:ascii="Calibri" w:eastAsia="PMingLiU" w:hAnsi="Calibri" w:cs="Times New Roman"/>
          <w:szCs w:val="24"/>
          <w:lang w:eastAsia="zh-TW"/>
        </w:rPr>
        <w:t xml:space="preserve">įprastos </w:t>
      </w:r>
      <w:r w:rsidRPr="00AD428C">
        <w:rPr>
          <w:rFonts w:ascii="Calibri" w:eastAsia="PMingLiU" w:hAnsi="Calibri" w:cs="Times New Roman"/>
          <w:szCs w:val="24"/>
          <w:lang w:eastAsia="zh-TW"/>
        </w:rPr>
        <w:t xml:space="preserve">maisto produktų kainos rodo, kad šalies gyventojai tiesiogine prasme pravalgo vis mažesnę savo išlaidų dalį. </w:t>
      </w:r>
    </w:p>
    <w:p w14:paraId="539E7887" w14:textId="2A295C04" w:rsidR="00B171C5" w:rsidRPr="00AD428C" w:rsidRDefault="00B171C5" w:rsidP="00B171C5">
      <w:pPr>
        <w:jc w:val="both"/>
        <w:rPr>
          <w:rFonts w:ascii="Calibri" w:eastAsia="PMingLiU" w:hAnsi="Calibri" w:cs="Times New Roman"/>
          <w:szCs w:val="24"/>
          <w:lang w:eastAsia="zh-TW"/>
        </w:rPr>
      </w:pPr>
      <w:r w:rsidRPr="00AD428C">
        <w:rPr>
          <w:rFonts w:ascii="Calibri" w:eastAsia="PMingLiU" w:hAnsi="Calibri" w:cs="Times New Roman"/>
          <w:szCs w:val="24"/>
          <w:lang w:eastAsia="zh-TW"/>
        </w:rPr>
        <w:t>„Jei prieš 20 metų vidutiniam Lietuvos namų ūkiui daugiau nei 25 proc. visų išlaidų tekdavo skirti maistui, tai užpernai ši dalis sumažėjo iki 19 proc., rodo „</w:t>
      </w:r>
      <w:proofErr w:type="spellStart"/>
      <w:r w:rsidRPr="00AD428C">
        <w:rPr>
          <w:rFonts w:ascii="Calibri" w:eastAsia="PMingLiU" w:hAnsi="Calibri" w:cs="Times New Roman"/>
          <w:szCs w:val="24"/>
          <w:lang w:eastAsia="zh-TW"/>
        </w:rPr>
        <w:t>Eurostat</w:t>
      </w:r>
      <w:proofErr w:type="spellEnd"/>
      <w:r w:rsidRPr="00AD428C">
        <w:rPr>
          <w:rFonts w:ascii="Calibri" w:eastAsia="PMingLiU" w:hAnsi="Calibri" w:cs="Times New Roman"/>
          <w:szCs w:val="24"/>
          <w:lang w:eastAsia="zh-TW"/>
        </w:rPr>
        <w:t>“ duomenys. Kokią išlaidų dalį maistui išleidžiame šiemet, duomenų dar nėra, bet augančios gyventojų pajamos ir atpigę maisto produktai vienareikšmiškai rodo, kad ši kreivė toliau leidžiasi žemyn“, – sako</w:t>
      </w:r>
      <w:r w:rsidR="00C04379">
        <w:rPr>
          <w:rFonts w:ascii="Calibri" w:eastAsia="PMingLiU" w:hAnsi="Calibri" w:cs="Times New Roman"/>
          <w:szCs w:val="24"/>
          <w:lang w:eastAsia="zh-TW"/>
        </w:rPr>
        <w:t xml:space="preserve"> Julius Ivaška,</w:t>
      </w:r>
      <w:r w:rsidRPr="00AD428C">
        <w:rPr>
          <w:rFonts w:ascii="Calibri" w:eastAsia="PMingLiU" w:hAnsi="Calibri" w:cs="Times New Roman"/>
          <w:szCs w:val="24"/>
          <w:lang w:eastAsia="zh-TW"/>
        </w:rPr>
        <w:t xml:space="preserve"> „Urbo“ banko Verslo tarnybos direktori</w:t>
      </w:r>
      <w:r w:rsidR="00C04379">
        <w:rPr>
          <w:rFonts w:ascii="Calibri" w:eastAsia="PMingLiU" w:hAnsi="Calibri" w:cs="Times New Roman"/>
          <w:szCs w:val="24"/>
          <w:lang w:eastAsia="zh-TW"/>
        </w:rPr>
        <w:t>us.</w:t>
      </w:r>
      <w:r w:rsidRPr="00AD428C">
        <w:rPr>
          <w:rFonts w:ascii="Calibri" w:eastAsia="PMingLiU" w:hAnsi="Calibri" w:cs="Times New Roman"/>
          <w:szCs w:val="24"/>
          <w:lang w:eastAsia="zh-TW"/>
        </w:rPr>
        <w:t xml:space="preserve"> </w:t>
      </w:r>
    </w:p>
    <w:p w14:paraId="0182A9BD" w14:textId="7C09EF2D" w:rsidR="00B171C5" w:rsidRPr="00AD428C" w:rsidRDefault="00B171C5" w:rsidP="00B171C5">
      <w:pPr>
        <w:jc w:val="both"/>
        <w:rPr>
          <w:rFonts w:ascii="Calibri" w:eastAsia="PMingLiU" w:hAnsi="Calibri" w:cs="Times New Roman"/>
          <w:szCs w:val="24"/>
          <w:lang w:eastAsia="zh-TW"/>
        </w:rPr>
      </w:pPr>
      <w:r w:rsidRPr="00AD428C">
        <w:rPr>
          <w:rFonts w:ascii="Calibri" w:eastAsia="PMingLiU" w:hAnsi="Calibri" w:cs="Times New Roman"/>
          <w:szCs w:val="24"/>
          <w:lang w:eastAsia="zh-TW"/>
        </w:rPr>
        <w:t xml:space="preserve">Visgi banko ekspertas atkreipia dėmesį, kad siekiant objektyviai įvertinti kintančią gyventojų finansinę situaciją, tikslinga atsižvelgti ne tik į atlyginimų bei maisto </w:t>
      </w:r>
      <w:r w:rsidR="00CF650F">
        <w:rPr>
          <w:rFonts w:ascii="Calibri" w:eastAsia="PMingLiU" w:hAnsi="Calibri" w:cs="Times New Roman"/>
          <w:szCs w:val="24"/>
          <w:lang w:eastAsia="zh-TW"/>
        </w:rPr>
        <w:t xml:space="preserve">įprastų </w:t>
      </w:r>
      <w:r w:rsidRPr="00AD428C">
        <w:rPr>
          <w:rFonts w:ascii="Calibri" w:eastAsia="PMingLiU" w:hAnsi="Calibri" w:cs="Times New Roman"/>
          <w:szCs w:val="24"/>
          <w:lang w:eastAsia="zh-TW"/>
        </w:rPr>
        <w:t xml:space="preserve">kainų pokyčius – derėtų įvertinti ir kitų prekių bei paslaugų kainų dinamiką. </w:t>
      </w:r>
    </w:p>
    <w:p w14:paraId="4FD30A84" w14:textId="486CA1CC" w:rsidR="0009219B" w:rsidRPr="00324BB0" w:rsidRDefault="00B171C5" w:rsidP="0009219B">
      <w:pPr>
        <w:jc w:val="both"/>
        <w:rPr>
          <w:rFonts w:ascii="Calibri" w:eastAsia="PMingLiU" w:hAnsi="Calibri" w:cs="Times New Roman"/>
          <w:szCs w:val="24"/>
          <w:lang w:eastAsia="zh-TW"/>
        </w:rPr>
      </w:pPr>
      <w:r w:rsidRPr="00AD428C">
        <w:rPr>
          <w:rFonts w:ascii="Calibri" w:eastAsia="PMingLiU" w:hAnsi="Calibri" w:cs="Times New Roman"/>
          <w:szCs w:val="24"/>
          <w:lang w:eastAsia="zh-TW"/>
        </w:rPr>
        <w:t xml:space="preserve">„Metinei infliacijai pasiekus beveik 6 proc. kartelę, būtų per drąsu teigti, kad Lietuvos žmonių perkamoji galia per pastaruosius metus žaibiškai išaugo. Šalia atpigusių maisto produktų </w:t>
      </w:r>
      <w:r w:rsidR="00CF650F">
        <w:rPr>
          <w:rFonts w:ascii="Calibri" w:eastAsia="PMingLiU" w:hAnsi="Calibri" w:cs="Times New Roman"/>
          <w:szCs w:val="24"/>
          <w:lang w:eastAsia="zh-TW"/>
        </w:rPr>
        <w:t xml:space="preserve">įprastų kainų </w:t>
      </w:r>
      <w:r w:rsidRPr="00AD428C">
        <w:rPr>
          <w:rFonts w:ascii="Calibri" w:eastAsia="PMingLiU" w:hAnsi="Calibri" w:cs="Times New Roman"/>
          <w:szCs w:val="24"/>
          <w:lang w:eastAsia="zh-TW"/>
        </w:rPr>
        <w:t xml:space="preserve">matome išaugusius būsto išlaikymo, kasdienių kelionių, energetinių išteklių, skolinimosi bei kitų paslaugų kaštus. Tačiau akivaizdu, kad aktyvi prekybos tinklų konkurencija suteikia apčiuopiamą naudą pirkėjų piniginėms – atpigę kasdienio vartojimo maisto produktai leidžia kiek amortizuoti kitų vartojimo išlaidų augimą“, – teigia J. Ivaška. </w:t>
      </w:r>
    </w:p>
    <w:sectPr w:rsidR="0009219B" w:rsidRPr="00324BB0">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C3E4B" w14:textId="77777777" w:rsidR="00BA7819" w:rsidRDefault="00BA7819" w:rsidP="0009219B">
      <w:pPr>
        <w:spacing w:after="0" w:line="240" w:lineRule="auto"/>
      </w:pPr>
      <w:r>
        <w:separator/>
      </w:r>
    </w:p>
  </w:endnote>
  <w:endnote w:type="continuationSeparator" w:id="0">
    <w:p w14:paraId="2A773103" w14:textId="77777777" w:rsidR="00BA7819" w:rsidRDefault="00BA7819" w:rsidP="00092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223F" w14:textId="77777777" w:rsidR="00BA7819" w:rsidRDefault="00BA7819" w:rsidP="0009219B">
      <w:pPr>
        <w:spacing w:after="0" w:line="240" w:lineRule="auto"/>
      </w:pPr>
      <w:r>
        <w:separator/>
      </w:r>
    </w:p>
  </w:footnote>
  <w:footnote w:type="continuationSeparator" w:id="0">
    <w:p w14:paraId="26A9F137" w14:textId="77777777" w:rsidR="00BA7819" w:rsidRDefault="00BA7819" w:rsidP="00092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6B57" w14:textId="11BC1081" w:rsidR="0009219B" w:rsidRDefault="0009219B">
    <w:pPr>
      <w:pStyle w:val="Header"/>
    </w:pPr>
    <w:r>
      <w:rPr>
        <w:noProof/>
      </w:rPr>
      <w:drawing>
        <wp:inline distT="0" distB="0" distL="0" distR="0" wp14:anchorId="00DA667A" wp14:editId="7C6B4D28">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C4145"/>
    <w:multiLevelType w:val="hybridMultilevel"/>
    <w:tmpl w:val="54EC5F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F0C4D14"/>
    <w:multiLevelType w:val="hybridMultilevel"/>
    <w:tmpl w:val="8ED06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FB5C7E"/>
    <w:multiLevelType w:val="hybridMultilevel"/>
    <w:tmpl w:val="11B23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80E60"/>
    <w:multiLevelType w:val="hybridMultilevel"/>
    <w:tmpl w:val="6486CF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3E5A35"/>
    <w:multiLevelType w:val="hybridMultilevel"/>
    <w:tmpl w:val="FAC62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825FD9"/>
    <w:multiLevelType w:val="hybridMultilevel"/>
    <w:tmpl w:val="BED45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5446A5"/>
    <w:multiLevelType w:val="hybridMultilevel"/>
    <w:tmpl w:val="B34CED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4587553"/>
    <w:multiLevelType w:val="hybridMultilevel"/>
    <w:tmpl w:val="95C41A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7506589"/>
    <w:multiLevelType w:val="hybridMultilevel"/>
    <w:tmpl w:val="F68E2D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5C62C89"/>
    <w:multiLevelType w:val="hybridMultilevel"/>
    <w:tmpl w:val="7B968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87236110">
    <w:abstractNumId w:val="9"/>
  </w:num>
  <w:num w:numId="2" w16cid:durableId="1181702001">
    <w:abstractNumId w:val="6"/>
  </w:num>
  <w:num w:numId="3" w16cid:durableId="733621125">
    <w:abstractNumId w:val="7"/>
  </w:num>
  <w:num w:numId="4" w16cid:durableId="2003118121">
    <w:abstractNumId w:val="8"/>
  </w:num>
  <w:num w:numId="5" w16cid:durableId="1194658803">
    <w:abstractNumId w:val="0"/>
  </w:num>
  <w:num w:numId="6" w16cid:durableId="1616911602">
    <w:abstractNumId w:val="5"/>
  </w:num>
  <w:num w:numId="7" w16cid:durableId="2098397875">
    <w:abstractNumId w:val="4"/>
  </w:num>
  <w:num w:numId="8" w16cid:durableId="1954827086">
    <w:abstractNumId w:val="2"/>
  </w:num>
  <w:num w:numId="9" w16cid:durableId="164977033">
    <w:abstractNumId w:val="1"/>
  </w:num>
  <w:num w:numId="10" w16cid:durableId="19805254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9B"/>
    <w:rsid w:val="000032D9"/>
    <w:rsid w:val="00005E94"/>
    <w:rsid w:val="00006528"/>
    <w:rsid w:val="0001065E"/>
    <w:rsid w:val="00020D1C"/>
    <w:rsid w:val="00022C67"/>
    <w:rsid w:val="00026A36"/>
    <w:rsid w:val="0002784A"/>
    <w:rsid w:val="00057885"/>
    <w:rsid w:val="00061538"/>
    <w:rsid w:val="00065BF9"/>
    <w:rsid w:val="00067FDA"/>
    <w:rsid w:val="0007035F"/>
    <w:rsid w:val="00077E7D"/>
    <w:rsid w:val="0008098C"/>
    <w:rsid w:val="0009219B"/>
    <w:rsid w:val="000953CA"/>
    <w:rsid w:val="0009748B"/>
    <w:rsid w:val="000A054E"/>
    <w:rsid w:val="000B2E22"/>
    <w:rsid w:val="000C069C"/>
    <w:rsid w:val="000C08D7"/>
    <w:rsid w:val="000C60DD"/>
    <w:rsid w:val="000D29CB"/>
    <w:rsid w:val="000D42AE"/>
    <w:rsid w:val="000D7D75"/>
    <w:rsid w:val="000E15B2"/>
    <w:rsid w:val="0010244A"/>
    <w:rsid w:val="001029EC"/>
    <w:rsid w:val="00102C93"/>
    <w:rsid w:val="00107745"/>
    <w:rsid w:val="0011132C"/>
    <w:rsid w:val="00111F28"/>
    <w:rsid w:val="00112F70"/>
    <w:rsid w:val="00127C9B"/>
    <w:rsid w:val="00146734"/>
    <w:rsid w:val="00147420"/>
    <w:rsid w:val="00147A07"/>
    <w:rsid w:val="001514DE"/>
    <w:rsid w:val="00153DA5"/>
    <w:rsid w:val="0016096E"/>
    <w:rsid w:val="001649C0"/>
    <w:rsid w:val="0016617E"/>
    <w:rsid w:val="0017291D"/>
    <w:rsid w:val="00177AA1"/>
    <w:rsid w:val="00177D00"/>
    <w:rsid w:val="00183923"/>
    <w:rsid w:val="0019216D"/>
    <w:rsid w:val="001976CF"/>
    <w:rsid w:val="001A6EB8"/>
    <w:rsid w:val="001B3BCC"/>
    <w:rsid w:val="001B7476"/>
    <w:rsid w:val="001B7C1A"/>
    <w:rsid w:val="001C1406"/>
    <w:rsid w:val="001C35FE"/>
    <w:rsid w:val="001D0652"/>
    <w:rsid w:val="001D728F"/>
    <w:rsid w:val="001E26A8"/>
    <w:rsid w:val="001E4B80"/>
    <w:rsid w:val="001F1702"/>
    <w:rsid w:val="001F5BA2"/>
    <w:rsid w:val="00204619"/>
    <w:rsid w:val="0020522F"/>
    <w:rsid w:val="00210CA9"/>
    <w:rsid w:val="002125B9"/>
    <w:rsid w:val="00215F74"/>
    <w:rsid w:val="002240B5"/>
    <w:rsid w:val="002301D8"/>
    <w:rsid w:val="00230BF2"/>
    <w:rsid w:val="00235E3F"/>
    <w:rsid w:val="002426D5"/>
    <w:rsid w:val="00247E06"/>
    <w:rsid w:val="002527E9"/>
    <w:rsid w:val="00256F94"/>
    <w:rsid w:val="00264BB0"/>
    <w:rsid w:val="002663C5"/>
    <w:rsid w:val="00267A41"/>
    <w:rsid w:val="00267AED"/>
    <w:rsid w:val="0028005B"/>
    <w:rsid w:val="0028087C"/>
    <w:rsid w:val="002828D4"/>
    <w:rsid w:val="002842DA"/>
    <w:rsid w:val="002A0808"/>
    <w:rsid w:val="002A4670"/>
    <w:rsid w:val="002A5C6E"/>
    <w:rsid w:val="002A7A69"/>
    <w:rsid w:val="002B1C07"/>
    <w:rsid w:val="002C41B6"/>
    <w:rsid w:val="002C580C"/>
    <w:rsid w:val="002D0514"/>
    <w:rsid w:val="002D3485"/>
    <w:rsid w:val="002D4BE7"/>
    <w:rsid w:val="002D5A26"/>
    <w:rsid w:val="002D69FB"/>
    <w:rsid w:val="002E2535"/>
    <w:rsid w:val="002E2560"/>
    <w:rsid w:val="002E45DB"/>
    <w:rsid w:val="002F67BC"/>
    <w:rsid w:val="00305B70"/>
    <w:rsid w:val="0030796D"/>
    <w:rsid w:val="0031137B"/>
    <w:rsid w:val="00324BB0"/>
    <w:rsid w:val="00337F9C"/>
    <w:rsid w:val="003417BE"/>
    <w:rsid w:val="00345CBC"/>
    <w:rsid w:val="00347348"/>
    <w:rsid w:val="003501C0"/>
    <w:rsid w:val="00352517"/>
    <w:rsid w:val="00357C22"/>
    <w:rsid w:val="00371608"/>
    <w:rsid w:val="00375E66"/>
    <w:rsid w:val="00386F4B"/>
    <w:rsid w:val="00395084"/>
    <w:rsid w:val="003965CF"/>
    <w:rsid w:val="003A1803"/>
    <w:rsid w:val="003A1965"/>
    <w:rsid w:val="003A58CA"/>
    <w:rsid w:val="003B121B"/>
    <w:rsid w:val="003B1814"/>
    <w:rsid w:val="003B36A0"/>
    <w:rsid w:val="003B565E"/>
    <w:rsid w:val="003C6B9B"/>
    <w:rsid w:val="003D00B2"/>
    <w:rsid w:val="003D43FB"/>
    <w:rsid w:val="003E2183"/>
    <w:rsid w:val="003F19B6"/>
    <w:rsid w:val="003F55A4"/>
    <w:rsid w:val="00400023"/>
    <w:rsid w:val="00400AF4"/>
    <w:rsid w:val="0040508C"/>
    <w:rsid w:val="004060EE"/>
    <w:rsid w:val="004152D3"/>
    <w:rsid w:val="00420E3D"/>
    <w:rsid w:val="0042105D"/>
    <w:rsid w:val="0042230E"/>
    <w:rsid w:val="00423D42"/>
    <w:rsid w:val="0042559C"/>
    <w:rsid w:val="00431A20"/>
    <w:rsid w:val="004448B1"/>
    <w:rsid w:val="00451AB3"/>
    <w:rsid w:val="00460656"/>
    <w:rsid w:val="00461B6F"/>
    <w:rsid w:val="00472781"/>
    <w:rsid w:val="004748C6"/>
    <w:rsid w:val="00475613"/>
    <w:rsid w:val="00486EF9"/>
    <w:rsid w:val="004948C7"/>
    <w:rsid w:val="00494BD0"/>
    <w:rsid w:val="004A1DC3"/>
    <w:rsid w:val="004A407A"/>
    <w:rsid w:val="004A6936"/>
    <w:rsid w:val="004B06CF"/>
    <w:rsid w:val="004B5945"/>
    <w:rsid w:val="004B7E2E"/>
    <w:rsid w:val="004C3090"/>
    <w:rsid w:val="004C5470"/>
    <w:rsid w:val="004C7E47"/>
    <w:rsid w:val="004D345F"/>
    <w:rsid w:val="004E2FCC"/>
    <w:rsid w:val="004F22DA"/>
    <w:rsid w:val="005018A3"/>
    <w:rsid w:val="0052089F"/>
    <w:rsid w:val="00523F9E"/>
    <w:rsid w:val="00524E56"/>
    <w:rsid w:val="00531F1D"/>
    <w:rsid w:val="00533811"/>
    <w:rsid w:val="005419BF"/>
    <w:rsid w:val="005458BF"/>
    <w:rsid w:val="005501DF"/>
    <w:rsid w:val="00550B70"/>
    <w:rsid w:val="00562BE8"/>
    <w:rsid w:val="00565B9F"/>
    <w:rsid w:val="005676FB"/>
    <w:rsid w:val="005731AC"/>
    <w:rsid w:val="005739D5"/>
    <w:rsid w:val="0058452E"/>
    <w:rsid w:val="005848CA"/>
    <w:rsid w:val="005904B5"/>
    <w:rsid w:val="00593D9B"/>
    <w:rsid w:val="00594432"/>
    <w:rsid w:val="00594789"/>
    <w:rsid w:val="005B019E"/>
    <w:rsid w:val="005B49C5"/>
    <w:rsid w:val="005B5D14"/>
    <w:rsid w:val="005B735B"/>
    <w:rsid w:val="005B7A47"/>
    <w:rsid w:val="005D2112"/>
    <w:rsid w:val="005D37DB"/>
    <w:rsid w:val="005D5E8F"/>
    <w:rsid w:val="005D6F1A"/>
    <w:rsid w:val="005E1DBF"/>
    <w:rsid w:val="005E2C5C"/>
    <w:rsid w:val="006117A2"/>
    <w:rsid w:val="00621719"/>
    <w:rsid w:val="00626CCC"/>
    <w:rsid w:val="0063104A"/>
    <w:rsid w:val="00633E85"/>
    <w:rsid w:val="0063584A"/>
    <w:rsid w:val="00635B6E"/>
    <w:rsid w:val="00635E5B"/>
    <w:rsid w:val="00637644"/>
    <w:rsid w:val="006408D9"/>
    <w:rsid w:val="0064262E"/>
    <w:rsid w:val="00643728"/>
    <w:rsid w:val="006504DB"/>
    <w:rsid w:val="00653675"/>
    <w:rsid w:val="006544DF"/>
    <w:rsid w:val="00670015"/>
    <w:rsid w:val="00670059"/>
    <w:rsid w:val="0067335F"/>
    <w:rsid w:val="00675E49"/>
    <w:rsid w:val="00686E49"/>
    <w:rsid w:val="00691DF4"/>
    <w:rsid w:val="00693CE0"/>
    <w:rsid w:val="006959DF"/>
    <w:rsid w:val="006A61D2"/>
    <w:rsid w:val="006C29A8"/>
    <w:rsid w:val="006C5625"/>
    <w:rsid w:val="006E08C6"/>
    <w:rsid w:val="006E0A66"/>
    <w:rsid w:val="006F0DD9"/>
    <w:rsid w:val="00703954"/>
    <w:rsid w:val="0071036C"/>
    <w:rsid w:val="0071428D"/>
    <w:rsid w:val="007147B3"/>
    <w:rsid w:val="007214A0"/>
    <w:rsid w:val="00721560"/>
    <w:rsid w:val="00724D02"/>
    <w:rsid w:val="00741841"/>
    <w:rsid w:val="007508FB"/>
    <w:rsid w:val="00757DE2"/>
    <w:rsid w:val="00757F26"/>
    <w:rsid w:val="00765862"/>
    <w:rsid w:val="00765A23"/>
    <w:rsid w:val="00767834"/>
    <w:rsid w:val="007729E6"/>
    <w:rsid w:val="00774B1D"/>
    <w:rsid w:val="00781445"/>
    <w:rsid w:val="007A1F1C"/>
    <w:rsid w:val="007A3E73"/>
    <w:rsid w:val="007A5363"/>
    <w:rsid w:val="007A68A7"/>
    <w:rsid w:val="007A74C2"/>
    <w:rsid w:val="007D1F64"/>
    <w:rsid w:val="007D26A9"/>
    <w:rsid w:val="007E1FAC"/>
    <w:rsid w:val="007E35B4"/>
    <w:rsid w:val="007E566B"/>
    <w:rsid w:val="007E7F17"/>
    <w:rsid w:val="007F1846"/>
    <w:rsid w:val="007F671A"/>
    <w:rsid w:val="007F7D77"/>
    <w:rsid w:val="008040E0"/>
    <w:rsid w:val="00804863"/>
    <w:rsid w:val="00811DCD"/>
    <w:rsid w:val="0081318C"/>
    <w:rsid w:val="0081660F"/>
    <w:rsid w:val="00817CDB"/>
    <w:rsid w:val="00820703"/>
    <w:rsid w:val="00820A95"/>
    <w:rsid w:val="00822A45"/>
    <w:rsid w:val="008242BA"/>
    <w:rsid w:val="00834C14"/>
    <w:rsid w:val="0084117D"/>
    <w:rsid w:val="00855583"/>
    <w:rsid w:val="008606EA"/>
    <w:rsid w:val="00861498"/>
    <w:rsid w:val="00874BAE"/>
    <w:rsid w:val="00874CF1"/>
    <w:rsid w:val="00876EA6"/>
    <w:rsid w:val="008877C8"/>
    <w:rsid w:val="0089335A"/>
    <w:rsid w:val="008A03FF"/>
    <w:rsid w:val="008A0F67"/>
    <w:rsid w:val="008A400B"/>
    <w:rsid w:val="008A5368"/>
    <w:rsid w:val="008A5C70"/>
    <w:rsid w:val="008B2A55"/>
    <w:rsid w:val="008C3278"/>
    <w:rsid w:val="008C5880"/>
    <w:rsid w:val="008D08D3"/>
    <w:rsid w:val="008D3516"/>
    <w:rsid w:val="008D769C"/>
    <w:rsid w:val="008E0F91"/>
    <w:rsid w:val="008E7DA8"/>
    <w:rsid w:val="008F2E9C"/>
    <w:rsid w:val="009015BE"/>
    <w:rsid w:val="00914C81"/>
    <w:rsid w:val="0091547F"/>
    <w:rsid w:val="009178CC"/>
    <w:rsid w:val="00936A21"/>
    <w:rsid w:val="00936DBB"/>
    <w:rsid w:val="00937E0E"/>
    <w:rsid w:val="0095469A"/>
    <w:rsid w:val="00954D58"/>
    <w:rsid w:val="00956EF9"/>
    <w:rsid w:val="00961150"/>
    <w:rsid w:val="00962789"/>
    <w:rsid w:val="00964DCC"/>
    <w:rsid w:val="009740A2"/>
    <w:rsid w:val="00980822"/>
    <w:rsid w:val="009A6487"/>
    <w:rsid w:val="009B00D9"/>
    <w:rsid w:val="009B0E5E"/>
    <w:rsid w:val="009B2BCC"/>
    <w:rsid w:val="009B3AE6"/>
    <w:rsid w:val="009D6127"/>
    <w:rsid w:val="009D6148"/>
    <w:rsid w:val="009E13DB"/>
    <w:rsid w:val="009F167F"/>
    <w:rsid w:val="009F573A"/>
    <w:rsid w:val="009F599E"/>
    <w:rsid w:val="009F60C6"/>
    <w:rsid w:val="009F6F8F"/>
    <w:rsid w:val="00A0161A"/>
    <w:rsid w:val="00A10F75"/>
    <w:rsid w:val="00A12774"/>
    <w:rsid w:val="00A12A2B"/>
    <w:rsid w:val="00A16006"/>
    <w:rsid w:val="00A2349E"/>
    <w:rsid w:val="00A30D5C"/>
    <w:rsid w:val="00A350A9"/>
    <w:rsid w:val="00A416B8"/>
    <w:rsid w:val="00A44A97"/>
    <w:rsid w:val="00A54D1D"/>
    <w:rsid w:val="00A72700"/>
    <w:rsid w:val="00A729AB"/>
    <w:rsid w:val="00A82FF8"/>
    <w:rsid w:val="00A90EAF"/>
    <w:rsid w:val="00A93B39"/>
    <w:rsid w:val="00A9752B"/>
    <w:rsid w:val="00AB214D"/>
    <w:rsid w:val="00AB56F2"/>
    <w:rsid w:val="00AB6B36"/>
    <w:rsid w:val="00AC5751"/>
    <w:rsid w:val="00AD31B3"/>
    <w:rsid w:val="00AD3B6E"/>
    <w:rsid w:val="00AD428C"/>
    <w:rsid w:val="00AD5B78"/>
    <w:rsid w:val="00AE6E49"/>
    <w:rsid w:val="00AF374F"/>
    <w:rsid w:val="00B04D0C"/>
    <w:rsid w:val="00B04ECB"/>
    <w:rsid w:val="00B07AC5"/>
    <w:rsid w:val="00B142F5"/>
    <w:rsid w:val="00B171C5"/>
    <w:rsid w:val="00B224DC"/>
    <w:rsid w:val="00B24BAF"/>
    <w:rsid w:val="00B30C08"/>
    <w:rsid w:val="00B30EF8"/>
    <w:rsid w:val="00B33318"/>
    <w:rsid w:val="00B33591"/>
    <w:rsid w:val="00B33AC6"/>
    <w:rsid w:val="00B3587C"/>
    <w:rsid w:val="00B379A7"/>
    <w:rsid w:val="00B41D71"/>
    <w:rsid w:val="00B52182"/>
    <w:rsid w:val="00B57459"/>
    <w:rsid w:val="00B647BC"/>
    <w:rsid w:val="00B64C27"/>
    <w:rsid w:val="00B65B6F"/>
    <w:rsid w:val="00B8439E"/>
    <w:rsid w:val="00BA690C"/>
    <w:rsid w:val="00BA7165"/>
    <w:rsid w:val="00BA7819"/>
    <w:rsid w:val="00BB1C2C"/>
    <w:rsid w:val="00BB2286"/>
    <w:rsid w:val="00BB734D"/>
    <w:rsid w:val="00BC44ED"/>
    <w:rsid w:val="00BD4601"/>
    <w:rsid w:val="00BE0967"/>
    <w:rsid w:val="00BE28A5"/>
    <w:rsid w:val="00BF5676"/>
    <w:rsid w:val="00BF6BDF"/>
    <w:rsid w:val="00C00546"/>
    <w:rsid w:val="00C0252E"/>
    <w:rsid w:val="00C033C9"/>
    <w:rsid w:val="00C04379"/>
    <w:rsid w:val="00C0591D"/>
    <w:rsid w:val="00C11748"/>
    <w:rsid w:val="00C12227"/>
    <w:rsid w:val="00C12EC0"/>
    <w:rsid w:val="00C24077"/>
    <w:rsid w:val="00C243BE"/>
    <w:rsid w:val="00C25BFF"/>
    <w:rsid w:val="00C36E3D"/>
    <w:rsid w:val="00C40D1E"/>
    <w:rsid w:val="00C4159B"/>
    <w:rsid w:val="00C4440C"/>
    <w:rsid w:val="00C44ADD"/>
    <w:rsid w:val="00C457EE"/>
    <w:rsid w:val="00C463DB"/>
    <w:rsid w:val="00C56656"/>
    <w:rsid w:val="00C56B7E"/>
    <w:rsid w:val="00C73B22"/>
    <w:rsid w:val="00C87704"/>
    <w:rsid w:val="00C971A2"/>
    <w:rsid w:val="00CA02E8"/>
    <w:rsid w:val="00CA1135"/>
    <w:rsid w:val="00CB37BA"/>
    <w:rsid w:val="00CC3704"/>
    <w:rsid w:val="00CD3332"/>
    <w:rsid w:val="00CD45EE"/>
    <w:rsid w:val="00CD49DC"/>
    <w:rsid w:val="00CF650F"/>
    <w:rsid w:val="00D033E9"/>
    <w:rsid w:val="00D170B9"/>
    <w:rsid w:val="00D21AC1"/>
    <w:rsid w:val="00D23773"/>
    <w:rsid w:val="00D27DF2"/>
    <w:rsid w:val="00D31FB4"/>
    <w:rsid w:val="00D36DFB"/>
    <w:rsid w:val="00D429F4"/>
    <w:rsid w:val="00D50738"/>
    <w:rsid w:val="00D5437C"/>
    <w:rsid w:val="00D560C7"/>
    <w:rsid w:val="00D636BC"/>
    <w:rsid w:val="00D67E45"/>
    <w:rsid w:val="00D74713"/>
    <w:rsid w:val="00D82A4C"/>
    <w:rsid w:val="00D83E2D"/>
    <w:rsid w:val="00D93A80"/>
    <w:rsid w:val="00D949C6"/>
    <w:rsid w:val="00DA6612"/>
    <w:rsid w:val="00DB49EB"/>
    <w:rsid w:val="00DB55EF"/>
    <w:rsid w:val="00DB772F"/>
    <w:rsid w:val="00DC3431"/>
    <w:rsid w:val="00DC65B7"/>
    <w:rsid w:val="00DD0E33"/>
    <w:rsid w:val="00DD4B7E"/>
    <w:rsid w:val="00DD4BE5"/>
    <w:rsid w:val="00DD66C8"/>
    <w:rsid w:val="00DE447A"/>
    <w:rsid w:val="00DF1E28"/>
    <w:rsid w:val="00DF3D81"/>
    <w:rsid w:val="00E173EC"/>
    <w:rsid w:val="00E17C7D"/>
    <w:rsid w:val="00E215EF"/>
    <w:rsid w:val="00E26495"/>
    <w:rsid w:val="00E30DB4"/>
    <w:rsid w:val="00E328FF"/>
    <w:rsid w:val="00E373D5"/>
    <w:rsid w:val="00E42B8E"/>
    <w:rsid w:val="00E60BE2"/>
    <w:rsid w:val="00E622F8"/>
    <w:rsid w:val="00E661D5"/>
    <w:rsid w:val="00E664A2"/>
    <w:rsid w:val="00E72446"/>
    <w:rsid w:val="00E74394"/>
    <w:rsid w:val="00E80D0E"/>
    <w:rsid w:val="00E83594"/>
    <w:rsid w:val="00E84001"/>
    <w:rsid w:val="00E84184"/>
    <w:rsid w:val="00E84649"/>
    <w:rsid w:val="00EA2B1F"/>
    <w:rsid w:val="00EA3445"/>
    <w:rsid w:val="00EA4A34"/>
    <w:rsid w:val="00EA4B22"/>
    <w:rsid w:val="00EA4F3E"/>
    <w:rsid w:val="00EA6C5D"/>
    <w:rsid w:val="00EB1CFB"/>
    <w:rsid w:val="00EC0F78"/>
    <w:rsid w:val="00EC2170"/>
    <w:rsid w:val="00EC7015"/>
    <w:rsid w:val="00ED0574"/>
    <w:rsid w:val="00ED0A3B"/>
    <w:rsid w:val="00ED0F95"/>
    <w:rsid w:val="00ED1B21"/>
    <w:rsid w:val="00ED21E0"/>
    <w:rsid w:val="00ED2695"/>
    <w:rsid w:val="00EE1E21"/>
    <w:rsid w:val="00EE3511"/>
    <w:rsid w:val="00EE603D"/>
    <w:rsid w:val="00EF0BBF"/>
    <w:rsid w:val="00EF207F"/>
    <w:rsid w:val="00EF4BB7"/>
    <w:rsid w:val="00F01F00"/>
    <w:rsid w:val="00F070A3"/>
    <w:rsid w:val="00F27814"/>
    <w:rsid w:val="00F37049"/>
    <w:rsid w:val="00F3732E"/>
    <w:rsid w:val="00F4479D"/>
    <w:rsid w:val="00F50345"/>
    <w:rsid w:val="00F51360"/>
    <w:rsid w:val="00F52906"/>
    <w:rsid w:val="00F53123"/>
    <w:rsid w:val="00F60DDA"/>
    <w:rsid w:val="00F72585"/>
    <w:rsid w:val="00F77053"/>
    <w:rsid w:val="00F92EDC"/>
    <w:rsid w:val="00F933EB"/>
    <w:rsid w:val="00FB0D0A"/>
    <w:rsid w:val="00FB0DBD"/>
    <w:rsid w:val="00FB1677"/>
    <w:rsid w:val="00FB4CD8"/>
    <w:rsid w:val="00FB52A3"/>
    <w:rsid w:val="00FC76B1"/>
    <w:rsid w:val="00FD014E"/>
    <w:rsid w:val="00FD137E"/>
    <w:rsid w:val="00FD6DA1"/>
    <w:rsid w:val="00FD75CA"/>
    <w:rsid w:val="00FE42D3"/>
    <w:rsid w:val="00FE7E59"/>
    <w:rsid w:val="00FF6790"/>
  </w:rsids>
  <m:mathPr>
    <m:mathFont m:val="Cambria Math"/>
    <m:brkBin m:val="before"/>
    <m:brkBinSub m:val="--"/>
    <m:smallFrac m:val="0"/>
    <m:dispDef/>
    <m:lMargin m:val="0"/>
    <m:rMargin m:val="0"/>
    <m:defJc m:val="centerGroup"/>
    <m:wrapIndent m:val="1440"/>
    <m:intLim m:val="subSup"/>
    <m:naryLim m:val="undOvr"/>
  </m:mathPr>
  <w:themeFontLang w:val="lt-LT"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6B354"/>
  <w15:chartTrackingRefBased/>
  <w15:docId w15:val="{01B8DF28-023F-4255-B247-3C5671D59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9EB"/>
  </w:style>
  <w:style w:type="paragraph" w:styleId="Heading1">
    <w:name w:val="heading 1"/>
    <w:basedOn w:val="Normal"/>
    <w:next w:val="Normal"/>
    <w:link w:val="Heading1Char"/>
    <w:uiPriority w:val="9"/>
    <w:qFormat/>
    <w:rsid w:val="00092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1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1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1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1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1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1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1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1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19B"/>
    <w:rPr>
      <w:rFonts w:eastAsiaTheme="majorEastAsia" w:cstheme="majorBidi"/>
      <w:color w:val="272727" w:themeColor="text1" w:themeTint="D8"/>
    </w:rPr>
  </w:style>
  <w:style w:type="paragraph" w:styleId="Title">
    <w:name w:val="Title"/>
    <w:basedOn w:val="Normal"/>
    <w:next w:val="Normal"/>
    <w:link w:val="TitleChar"/>
    <w:uiPriority w:val="10"/>
    <w:qFormat/>
    <w:rsid w:val="00092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19B"/>
    <w:pPr>
      <w:spacing w:before="160"/>
      <w:jc w:val="center"/>
    </w:pPr>
    <w:rPr>
      <w:i/>
      <w:iCs/>
      <w:color w:val="404040" w:themeColor="text1" w:themeTint="BF"/>
    </w:rPr>
  </w:style>
  <w:style w:type="character" w:customStyle="1" w:styleId="QuoteChar">
    <w:name w:val="Quote Char"/>
    <w:basedOn w:val="DefaultParagraphFont"/>
    <w:link w:val="Quote"/>
    <w:uiPriority w:val="29"/>
    <w:rsid w:val="0009219B"/>
    <w:rPr>
      <w:i/>
      <w:iCs/>
      <w:color w:val="404040" w:themeColor="text1" w:themeTint="BF"/>
    </w:rPr>
  </w:style>
  <w:style w:type="paragraph" w:styleId="ListParagraph">
    <w:name w:val="List Paragraph"/>
    <w:basedOn w:val="Normal"/>
    <w:uiPriority w:val="34"/>
    <w:qFormat/>
    <w:rsid w:val="0009219B"/>
    <w:pPr>
      <w:ind w:left="720"/>
      <w:contextualSpacing/>
    </w:pPr>
  </w:style>
  <w:style w:type="character" w:styleId="IntenseEmphasis">
    <w:name w:val="Intense Emphasis"/>
    <w:basedOn w:val="DefaultParagraphFont"/>
    <w:uiPriority w:val="21"/>
    <w:qFormat/>
    <w:rsid w:val="0009219B"/>
    <w:rPr>
      <w:i/>
      <w:iCs/>
      <w:color w:val="0F4761" w:themeColor="accent1" w:themeShade="BF"/>
    </w:rPr>
  </w:style>
  <w:style w:type="paragraph" w:styleId="IntenseQuote">
    <w:name w:val="Intense Quote"/>
    <w:basedOn w:val="Normal"/>
    <w:next w:val="Normal"/>
    <w:link w:val="IntenseQuoteChar"/>
    <w:uiPriority w:val="30"/>
    <w:qFormat/>
    <w:rsid w:val="00092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19B"/>
    <w:rPr>
      <w:i/>
      <w:iCs/>
      <w:color w:val="0F4761" w:themeColor="accent1" w:themeShade="BF"/>
    </w:rPr>
  </w:style>
  <w:style w:type="character" w:styleId="IntenseReference">
    <w:name w:val="Intense Reference"/>
    <w:basedOn w:val="DefaultParagraphFont"/>
    <w:uiPriority w:val="32"/>
    <w:qFormat/>
    <w:rsid w:val="0009219B"/>
    <w:rPr>
      <w:b/>
      <w:bCs/>
      <w:smallCaps/>
      <w:color w:val="0F4761" w:themeColor="accent1" w:themeShade="BF"/>
      <w:spacing w:val="5"/>
    </w:rPr>
  </w:style>
  <w:style w:type="paragraph" w:styleId="Header">
    <w:name w:val="header"/>
    <w:basedOn w:val="Normal"/>
    <w:link w:val="HeaderChar"/>
    <w:uiPriority w:val="99"/>
    <w:unhideWhenUsed/>
    <w:rsid w:val="000921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219B"/>
  </w:style>
  <w:style w:type="paragraph" w:styleId="Footer">
    <w:name w:val="footer"/>
    <w:basedOn w:val="Normal"/>
    <w:link w:val="FooterChar"/>
    <w:uiPriority w:val="99"/>
    <w:unhideWhenUsed/>
    <w:rsid w:val="000921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9219B"/>
  </w:style>
  <w:style w:type="character" w:styleId="Hyperlink">
    <w:name w:val="Hyperlink"/>
    <w:basedOn w:val="DefaultParagraphFont"/>
    <w:uiPriority w:val="99"/>
    <w:unhideWhenUsed/>
    <w:rsid w:val="0009219B"/>
    <w:rPr>
      <w:color w:val="467886" w:themeColor="hyperlink"/>
      <w:u w:val="single"/>
    </w:rPr>
  </w:style>
  <w:style w:type="character" w:styleId="UnresolvedMention">
    <w:name w:val="Unresolved Mention"/>
    <w:basedOn w:val="DefaultParagraphFont"/>
    <w:uiPriority w:val="99"/>
    <w:semiHidden/>
    <w:unhideWhenUsed/>
    <w:rsid w:val="0009219B"/>
    <w:rPr>
      <w:color w:val="605E5C"/>
      <w:shd w:val="clear" w:color="auto" w:fill="E1DFDD"/>
    </w:rPr>
  </w:style>
  <w:style w:type="character" w:styleId="CommentReference">
    <w:name w:val="annotation reference"/>
    <w:basedOn w:val="DefaultParagraphFont"/>
    <w:uiPriority w:val="99"/>
    <w:semiHidden/>
    <w:unhideWhenUsed/>
    <w:rsid w:val="00B171C5"/>
    <w:rPr>
      <w:sz w:val="16"/>
      <w:szCs w:val="16"/>
    </w:rPr>
  </w:style>
  <w:style w:type="paragraph" w:customStyle="1" w:styleId="CommentText1">
    <w:name w:val="Comment Text1"/>
    <w:basedOn w:val="Normal"/>
    <w:next w:val="CommentText"/>
    <w:link w:val="CommentTextChar"/>
    <w:uiPriority w:val="99"/>
    <w:unhideWhenUsed/>
    <w:rsid w:val="00B171C5"/>
    <w:pPr>
      <w:spacing w:line="240" w:lineRule="auto"/>
    </w:pPr>
    <w:rPr>
      <w:sz w:val="20"/>
      <w:szCs w:val="20"/>
    </w:rPr>
  </w:style>
  <w:style w:type="character" w:customStyle="1" w:styleId="CommentTextChar">
    <w:name w:val="Comment Text Char"/>
    <w:basedOn w:val="DefaultParagraphFont"/>
    <w:link w:val="CommentText1"/>
    <w:uiPriority w:val="99"/>
    <w:rsid w:val="00B171C5"/>
    <w:rPr>
      <w:sz w:val="20"/>
      <w:szCs w:val="20"/>
    </w:rPr>
  </w:style>
  <w:style w:type="paragraph" w:styleId="CommentText">
    <w:name w:val="annotation text"/>
    <w:basedOn w:val="Normal"/>
    <w:link w:val="CommentTextChar1"/>
    <w:uiPriority w:val="99"/>
    <w:unhideWhenUsed/>
    <w:rsid w:val="00B171C5"/>
    <w:pPr>
      <w:spacing w:line="240" w:lineRule="auto"/>
    </w:pPr>
    <w:rPr>
      <w:sz w:val="20"/>
      <w:szCs w:val="20"/>
    </w:rPr>
  </w:style>
  <w:style w:type="character" w:customStyle="1" w:styleId="CommentTextChar1">
    <w:name w:val="Comment Text Char1"/>
    <w:basedOn w:val="DefaultParagraphFont"/>
    <w:link w:val="CommentText"/>
    <w:uiPriority w:val="99"/>
    <w:rsid w:val="00B171C5"/>
    <w:rPr>
      <w:sz w:val="20"/>
      <w:szCs w:val="20"/>
    </w:rPr>
  </w:style>
  <w:style w:type="paragraph" w:styleId="CommentSubject">
    <w:name w:val="annotation subject"/>
    <w:basedOn w:val="CommentText"/>
    <w:next w:val="CommentText"/>
    <w:link w:val="CommentSubjectChar"/>
    <w:uiPriority w:val="99"/>
    <w:semiHidden/>
    <w:unhideWhenUsed/>
    <w:rsid w:val="00247E06"/>
    <w:rPr>
      <w:b/>
      <w:bCs/>
    </w:rPr>
  </w:style>
  <w:style w:type="character" w:customStyle="1" w:styleId="CommentSubjectChar">
    <w:name w:val="Comment Subject Char"/>
    <w:basedOn w:val="CommentTextChar1"/>
    <w:link w:val="CommentSubject"/>
    <w:uiPriority w:val="99"/>
    <w:semiHidden/>
    <w:rsid w:val="00247E06"/>
    <w:rPr>
      <w:b/>
      <w:bCs/>
      <w:sz w:val="20"/>
      <w:szCs w:val="20"/>
    </w:rPr>
  </w:style>
  <w:style w:type="paragraph" w:styleId="Revision">
    <w:name w:val="Revision"/>
    <w:hidden/>
    <w:uiPriority w:val="99"/>
    <w:semiHidden/>
    <w:rsid w:val="00BE09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881a85684a2a83108792b932ae463e2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0d036e5a6c99457a7bb3647ce06330d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Props1.xml><?xml version="1.0" encoding="utf-8"?>
<ds:datastoreItem xmlns:ds="http://schemas.openxmlformats.org/officeDocument/2006/customXml" ds:itemID="{4417D70E-CB49-4E79-9C87-1C03149B7BB6}">
  <ds:schemaRefs>
    <ds:schemaRef ds:uri="http://schemas.microsoft.com/sharepoint/v3/contenttype/forms"/>
  </ds:schemaRefs>
</ds:datastoreItem>
</file>

<file path=customXml/itemProps2.xml><?xml version="1.0" encoding="utf-8"?>
<ds:datastoreItem xmlns:ds="http://schemas.openxmlformats.org/officeDocument/2006/customXml" ds:itemID="{3D6F671A-EB11-4A17-AEA9-6D162D086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405231-9CCB-4677-B199-DDC6A93BAA9D}">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2450</Words>
  <Characters>1398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Deksnys</dc:creator>
  <cp:keywords/>
  <dc:description/>
  <cp:lastModifiedBy>Urte Paulauskaite</cp:lastModifiedBy>
  <cp:revision>56</cp:revision>
  <dcterms:created xsi:type="dcterms:W3CDTF">2026-09-10T13:06:00Z</dcterms:created>
  <dcterms:modified xsi:type="dcterms:W3CDTF">2026-09-14T11:22:00Z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